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CF1653">
      <w:pPr>
        <w:shd w:val="clear" w:color="auto" w:fill="C9A84C"/>
      </w:pPr>
      <w:bookmarkStart w:id="0" w:name="_GoBack"/>
      <w:bookmarkEnd w:id="0"/>
      <w:r>
        <w:rPr>
          <w:sz w:val="8"/>
          <w:szCs w:val="8"/>
        </w:rPr>
        <w:t xml:space="preserve"> </w:t>
      </w:r>
    </w:p>
    <w:p w14:paraId="2BD396F2">
      <w:pPr>
        <w:shd w:val="clear" w:color="auto" w:fill="1B3A6B"/>
        <w:spacing w:before="200"/>
        <w:jc w:val="center"/>
      </w:pPr>
      <w:r>
        <w:rPr>
          <w:caps/>
          <w:color w:val="FFFFFF"/>
          <w:spacing w:val="300"/>
          <w:sz w:val="22"/>
          <w:szCs w:val="22"/>
        </w:rPr>
        <w:t>PROPOSTA DI PROGETTO</w:t>
      </w:r>
    </w:p>
    <w:p w14:paraId="5B6467D4">
      <w:pPr>
        <w:shd w:val="clear" w:color="auto" w:fill="1B3A6B"/>
      </w:pPr>
      <w:r>
        <w:rPr>
          <w:sz w:val="10"/>
          <w:szCs w:val="10"/>
        </w:rPr>
        <w:t xml:space="preserve"> </w:t>
      </w:r>
    </w:p>
    <w:p w14:paraId="21FF347B">
      <w:pPr>
        <w:shd w:val="clear" w:color="auto" w:fill="C9A84C"/>
        <w:spacing w:after="600"/>
      </w:pPr>
      <w:r>
        <w:rPr>
          <w:sz w:val="6"/>
          <w:szCs w:val="6"/>
        </w:rPr>
        <w:t xml:space="preserve"> </w:t>
      </w:r>
    </w:p>
    <w:p w14:paraId="791A7D7E">
      <w:pPr>
        <w:jc w:val="center"/>
      </w:pPr>
      <w:r>
        <w:rPr>
          <w:b/>
          <w:bCs/>
          <w:color w:val="1B3A6B"/>
          <w:sz w:val="96"/>
          <w:szCs w:val="96"/>
        </w:rPr>
        <w:t>SPORT</w:t>
      </w:r>
    </w:p>
    <w:p w14:paraId="0218CEB6">
      <w:pPr>
        <w:pBdr>
          <w:bottom w:val="single" w:color="C9A84C" w:sz="14" w:space="10"/>
        </w:pBdr>
        <w:spacing w:after="280"/>
        <w:jc w:val="center"/>
      </w:pPr>
      <w:r>
        <w:rPr>
          <w:b/>
          <w:bCs/>
          <w:color w:val="C9A84C"/>
          <w:sz w:val="96"/>
          <w:szCs w:val="96"/>
        </w:rPr>
        <w:t>SU MISURA</w:t>
      </w:r>
    </w:p>
    <w:p w14:paraId="6640D649">
      <w:pPr>
        <w:spacing w:after="80"/>
        <w:jc w:val="center"/>
      </w:pPr>
      <w:r>
        <w:rPr>
          <w:color w:val="6B7280"/>
          <w:sz w:val="26"/>
          <w:szCs w:val="26"/>
        </w:rPr>
        <w:t>Valutazione e prescrizione individuale per gli studenti</w:t>
      </w:r>
    </w:p>
    <w:p w14:paraId="6A5311BC">
      <w:pPr>
        <w:spacing w:after="200"/>
        <w:jc w:val="center"/>
      </w:pPr>
      <w:r>
        <w:rPr>
          <w:color w:val="6B7280"/>
        </w:rPr>
        <w:t>fondata sui percentili per età e sesso nella popolazione scolastica dei 14–16 anni</w:t>
      </w:r>
    </w:p>
    <w:p w14:paraId="6B85AFF5">
      <w:pPr>
        <w:spacing w:after="600"/>
        <w:jc w:val="center"/>
      </w:pPr>
      <w:r>
        <w:t>Potenziale sistema di verifica dell'impegno e del merito individuale</w:t>
      </w:r>
    </w:p>
    <w:tbl>
      <w:tblPr>
        <w:tblStyle w:val="9"/>
        <w:tblW w:w="9306" w:type="dxa"/>
        <w:tblInd w:w="0" w:type="dxa"/>
        <w:tblBorders>
          <w:top w:val="single" w:color="C9A84C" w:sz="12" w:space="0"/>
          <w:left w:val="single" w:color="C9A84C" w:sz="12" w:space="0"/>
          <w:bottom w:val="single" w:color="C9A84C" w:sz="12" w:space="0"/>
          <w:right w:val="single" w:color="C9A84C" w:sz="12" w:space="0"/>
          <w:insideH w:val="single" w:color="auto" w:sz="4" w:space="0"/>
          <w:insideV w:val="single" w:color="auto" w:sz="4" w:space="0"/>
        </w:tblBorders>
        <w:tblLayout w:type="autofit"/>
        <w:tblCellMar>
          <w:top w:w="0" w:type="dxa"/>
          <w:left w:w="10" w:type="dxa"/>
          <w:bottom w:w="0" w:type="dxa"/>
          <w:right w:w="10" w:type="dxa"/>
        </w:tblCellMar>
      </w:tblPr>
      <w:tblGrid>
        <w:gridCol w:w="9306"/>
      </w:tblGrid>
      <w:tr w14:paraId="460D08D2">
        <w:tblPrEx>
          <w:tblBorders>
            <w:top w:val="single" w:color="C9A84C" w:sz="12" w:space="0"/>
            <w:left w:val="single" w:color="C9A84C" w:sz="12" w:space="0"/>
            <w:bottom w:val="single" w:color="C9A84C" w:sz="12" w:space="0"/>
            <w:right w:val="single" w:color="C9A84C" w:sz="12" w:space="0"/>
            <w:insideH w:val="single" w:color="auto" w:sz="4" w:space="0"/>
            <w:insideV w:val="single" w:color="auto" w:sz="4" w:space="0"/>
          </w:tblBorders>
          <w:tblCellMar>
            <w:top w:w="0" w:type="dxa"/>
            <w:left w:w="10" w:type="dxa"/>
            <w:bottom w:w="0" w:type="dxa"/>
            <w:right w:w="10" w:type="dxa"/>
          </w:tblCellMar>
        </w:tblPrEx>
        <w:tc>
          <w:tcPr>
            <w:tcW w:w="9306" w:type="dxa"/>
            <w:tcBorders>
              <w:top w:val="nil"/>
              <w:left w:val="nil"/>
              <w:bottom w:val="nil"/>
              <w:right w:val="nil"/>
            </w:tcBorders>
            <w:shd w:val="clear" w:color="auto" w:fill="FEF9ED"/>
            <w:tcMar>
              <w:top w:w="200" w:type="dxa"/>
              <w:left w:w="280" w:type="dxa"/>
              <w:bottom w:w="200" w:type="dxa"/>
              <w:right w:w="280" w:type="dxa"/>
            </w:tcMar>
            <w:vAlign w:val="center"/>
          </w:tcPr>
          <w:p w14:paraId="07675858">
            <w:pPr>
              <w:spacing w:after="60"/>
              <w:jc w:val="center"/>
            </w:pPr>
            <w:r>
              <w:rPr>
                <w:caps/>
                <w:color w:val="6B7280"/>
                <w:spacing w:val="120"/>
                <w:sz w:val="16"/>
                <w:szCs w:val="16"/>
              </w:rPr>
              <w:t>IDEATORE E RESPONSABILE SCIENTIFICO DEL PROGETTO</w:t>
            </w:r>
          </w:p>
          <w:p w14:paraId="164331F4">
            <w:pPr>
              <w:jc w:val="center"/>
            </w:pPr>
            <w:r>
              <w:rPr>
                <w:b/>
                <w:bCs/>
                <w:color w:val="1B3A6B"/>
                <w:sz w:val="36"/>
                <w:szCs w:val="36"/>
              </w:rPr>
              <w:t>Renato Manno</w:t>
            </w:r>
          </w:p>
        </w:tc>
      </w:tr>
    </w:tbl>
    <w:p w14:paraId="45AF5B3E">
      <w:pPr>
        <w:spacing w:after="360"/>
      </w:pPr>
    </w:p>
    <w:tbl>
      <w:tblPr>
        <w:tblStyle w:val="9"/>
        <w:tblW w:w="9306" w:type="dxa"/>
        <w:tblInd w:w="0" w:type="dxa"/>
        <w:tblBorders>
          <w:top w:val="single" w:color="C9A84C" w:sz="12" w:space="0"/>
          <w:left w:val="single" w:color="C9A84C" w:sz="12" w:space="0"/>
          <w:bottom w:val="single" w:color="C9A84C" w:sz="12" w:space="0"/>
          <w:right w:val="single" w:color="C9A84C" w:sz="12" w:space="0"/>
          <w:insideH w:val="single" w:color="auto" w:sz="4" w:space="0"/>
          <w:insideV w:val="single" w:color="auto" w:sz="4" w:space="0"/>
        </w:tblBorders>
        <w:tblLayout w:type="autofit"/>
        <w:tblCellMar>
          <w:top w:w="0" w:type="dxa"/>
          <w:left w:w="10" w:type="dxa"/>
          <w:bottom w:w="0" w:type="dxa"/>
          <w:right w:w="10" w:type="dxa"/>
        </w:tblCellMar>
      </w:tblPr>
      <w:tblGrid>
        <w:gridCol w:w="3102"/>
        <w:gridCol w:w="3102"/>
        <w:gridCol w:w="3102"/>
      </w:tblGrid>
      <w:tr w14:paraId="0D481728">
        <w:tblPrEx>
          <w:tblBorders>
            <w:top w:val="single" w:color="C9A84C" w:sz="12" w:space="0"/>
            <w:left w:val="single" w:color="C9A84C" w:sz="12" w:space="0"/>
            <w:bottom w:val="single" w:color="C9A84C" w:sz="12" w:space="0"/>
            <w:right w:val="single" w:color="C9A84C" w:sz="12" w:space="0"/>
            <w:insideH w:val="single" w:color="auto" w:sz="4" w:space="0"/>
            <w:insideV w:val="single" w:color="auto" w:sz="4" w:space="0"/>
          </w:tblBorders>
          <w:tblCellMar>
            <w:top w:w="0" w:type="dxa"/>
            <w:left w:w="10" w:type="dxa"/>
            <w:bottom w:w="0" w:type="dxa"/>
            <w:right w:w="10" w:type="dxa"/>
          </w:tblCellMar>
        </w:tblPrEx>
        <w:tc>
          <w:tcPr>
            <w:tcW w:w="3102" w:type="dxa"/>
            <w:tcBorders>
              <w:top w:val="nil"/>
              <w:left w:val="nil"/>
              <w:bottom w:val="nil"/>
              <w:right w:val="single" w:color="C9A84C" w:sz="6" w:space="0"/>
            </w:tcBorders>
            <w:tcMar>
              <w:top w:w="120" w:type="dxa"/>
              <w:left w:w="140" w:type="dxa"/>
              <w:bottom w:w="140" w:type="dxa"/>
              <w:right w:w="140" w:type="dxa"/>
            </w:tcMar>
          </w:tcPr>
          <w:p w14:paraId="7E817266">
            <w:pPr>
              <w:shd w:val="clear" w:color="auto" w:fill="1B3A6B"/>
              <w:spacing w:after="60"/>
              <w:jc w:val="center"/>
            </w:pPr>
            <w:r>
              <w:rPr>
                <w:b/>
                <w:bCs/>
                <w:color w:val="FFFFFF"/>
                <w:sz w:val="16"/>
                <w:szCs w:val="16"/>
              </w:rPr>
              <w:t>Sviluppatori e diffusori del Progetto</w:t>
            </w:r>
          </w:p>
          <w:p w14:paraId="0390BD3A">
            <w:pPr>
              <w:spacing w:before="60"/>
              <w:jc w:val="center"/>
            </w:pPr>
            <w:r>
              <w:rPr>
                <w:sz w:val="18"/>
                <w:szCs w:val="18"/>
              </w:rPr>
              <w:t>Comitato di redazione congiunto AONI-APEC-MDS  Grafica e software: Massimo Sanna</w:t>
            </w:r>
          </w:p>
        </w:tc>
        <w:tc>
          <w:tcPr>
            <w:tcW w:w="3102" w:type="dxa"/>
            <w:tcBorders>
              <w:top w:val="nil"/>
              <w:left w:val="nil"/>
              <w:bottom w:val="nil"/>
              <w:right w:val="single" w:color="C9A84C" w:sz="6" w:space="0"/>
            </w:tcBorders>
            <w:tcMar>
              <w:top w:w="120" w:type="dxa"/>
              <w:left w:w="140" w:type="dxa"/>
              <w:bottom w:w="140" w:type="dxa"/>
              <w:right w:w="140" w:type="dxa"/>
            </w:tcMar>
          </w:tcPr>
          <w:p w14:paraId="0735BC13">
            <w:pPr>
              <w:shd w:val="clear" w:color="auto" w:fill="1B3A6B"/>
              <w:spacing w:after="60"/>
              <w:jc w:val="center"/>
            </w:pPr>
            <w:r>
              <w:rPr>
                <w:b/>
                <w:bCs/>
                <w:color w:val="FFFFFF"/>
                <w:sz w:val="16"/>
                <w:szCs w:val="16"/>
              </w:rPr>
              <w:t>Target primario</w:t>
            </w:r>
          </w:p>
          <w:p w14:paraId="12BAD23F">
            <w:pPr>
              <w:spacing w:before="60"/>
              <w:jc w:val="center"/>
            </w:pPr>
            <w:r>
              <w:rPr>
                <w:sz w:val="18"/>
                <w:szCs w:val="18"/>
              </w:rPr>
              <w:t>Studenti dei primi tre anni dei licei scientifici ad indirizzo sportivo (14–16 anni)</w:t>
            </w:r>
          </w:p>
        </w:tc>
        <w:tc>
          <w:tcPr>
            <w:tcW w:w="3102" w:type="dxa"/>
            <w:tcBorders>
              <w:top w:val="nil"/>
              <w:left w:val="nil"/>
              <w:bottom w:val="nil"/>
              <w:right w:val="single" w:color="C9A84C" w:sz="6" w:space="0"/>
            </w:tcBorders>
            <w:tcMar>
              <w:top w:w="120" w:type="dxa"/>
              <w:left w:w="140" w:type="dxa"/>
              <w:bottom w:w="140" w:type="dxa"/>
              <w:right w:w="140" w:type="dxa"/>
            </w:tcMar>
          </w:tcPr>
          <w:p w14:paraId="47092202">
            <w:pPr>
              <w:shd w:val="clear" w:color="auto" w:fill="1B3A6B"/>
              <w:spacing w:after="60"/>
              <w:jc w:val="center"/>
            </w:pPr>
            <w:r>
              <w:rPr>
                <w:b/>
                <w:bCs/>
                <w:color w:val="FFFFFF"/>
                <w:sz w:val="16"/>
                <w:szCs w:val="16"/>
              </w:rPr>
              <w:t>Target successivi</w:t>
            </w:r>
          </w:p>
          <w:p w14:paraId="39CBA009">
            <w:pPr>
              <w:spacing w:before="60"/>
              <w:jc w:val="center"/>
            </w:pPr>
            <w:r>
              <w:rPr>
                <w:sz w:val="18"/>
                <w:szCs w:val="18"/>
              </w:rPr>
              <w:t>Ampliamento al IV e V anno e ad altre tipologie di scuole secondarie di secondo grado</w:t>
            </w:r>
          </w:p>
        </w:tc>
      </w:tr>
    </w:tbl>
    <w:p w14:paraId="35F20F4C">
      <w:pPr>
        <w:spacing w:after="400"/>
      </w:pPr>
    </w:p>
    <w:p w14:paraId="7AB546DA">
      <w:pPr>
        <w:jc w:val="center"/>
      </w:pPr>
      <w:r>
        <w:rPr>
          <w:color w:val="6B7280"/>
          <w:sz w:val="22"/>
          <w:szCs w:val="22"/>
        </w:rPr>
        <w:t>Marzo 2026</w:t>
      </w:r>
    </w:p>
    <w:p w14:paraId="445585CF">
      <w:pPr>
        <w:spacing w:after="200"/>
      </w:pPr>
    </w:p>
    <w:p w14:paraId="58D61863">
      <w:pPr>
        <w:shd w:val="clear" w:color="auto" w:fill="C9A84C"/>
        <w:spacing w:after="4"/>
      </w:pPr>
      <w:r>
        <w:rPr>
          <w:sz w:val="6"/>
          <w:szCs w:val="6"/>
        </w:rPr>
        <w:t xml:space="preserve"> </w:t>
      </w:r>
    </w:p>
    <w:p w14:paraId="2E60DDAE">
      <w:pPr>
        <w:shd w:val="clear" w:color="auto" w:fill="1B3A6B"/>
      </w:pPr>
      <w:r>
        <w:rPr>
          <w:sz w:val="16"/>
          <w:szCs w:val="16"/>
        </w:rPr>
        <w:t xml:space="preserve"> </w:t>
      </w:r>
    </w:p>
    <w:p w14:paraId="326CA611">
      <w:r>
        <w:br w:type="page"/>
      </w:r>
    </w:p>
    <w:p w14:paraId="6AE2C199">
      <w:pPr>
        <w:pBdr>
          <w:bottom w:val="single" w:color="C9A84C" w:sz="10" w:space="6"/>
        </w:pBdr>
        <w:spacing w:before="480" w:after="100"/>
      </w:pPr>
      <w:r>
        <w:rPr>
          <w:b/>
          <w:bCs/>
          <w:color w:val="1B3A6B"/>
          <w:sz w:val="34"/>
          <w:szCs w:val="34"/>
        </w:rPr>
        <w:t>1. Le motivazioni del progetto</w:t>
      </w:r>
    </w:p>
    <w:p w14:paraId="326F6149">
      <w:pPr>
        <w:pBdr>
          <w:left w:val="single" w:color="C9A84C" w:sz="28" w:space="10"/>
        </w:pBdr>
        <w:shd w:val="clear" w:color="auto" w:fill="FEF9ED"/>
        <w:spacing w:before="200" w:after="200"/>
        <w:ind w:left="400" w:right="400"/>
      </w:pPr>
      <w:r>
        <w:rPr>
          <w:color w:val="1B3A6B"/>
        </w:rPr>
        <w:t>Circa il 60% degli studenti tra i 14 e i 16 anni presenta andamenti irregolari o insufficienti nell'attività fisica. Chi smette di muoversi rischia di non ricominciare mai più.</w:t>
      </w:r>
    </w:p>
    <w:p w14:paraId="2FB52437">
      <w:pPr>
        <w:spacing w:before="60" w:after="80"/>
        <w:jc w:val="both"/>
      </w:pPr>
      <w:r>
        <w:t>La fascia d'età compresa tra i 14 e i 16 anni è la più critica nell'intero percorso formativo dal punto di vista motorio. È il momento in cui molti ragazzi abbandonano lo sport organizzato, in cui i cambiamenti fisici legati alla crescita creano disorientamento, in cui la sedentarietà — alimentata dall'uso intensivo dei media e dei social — rischia di diventare uno stile di vita permanente.</w:t>
      </w:r>
    </w:p>
    <w:p w14:paraId="1DBF258E">
      <w:pPr>
        <w:spacing w:before="60" w:after="80"/>
        <w:jc w:val="both"/>
      </w:pPr>
      <w:r>
        <w:t>Il paradosso è che questa è anche la fase in cui il corpo subisce le trasformazioni più rapide e significative della vita. Il picco di crescita staturale (PHV — Peak Height Velocity) può temporaneamente far calare le prestazioni motorie anche nei ragazzi più dotati. Se nessuno spiega al ragazzo cosa sta succedendo, quel calo viene interpretato come perdita di qualità, incapacità, inadeguatezza. E il giovane rischia di smettere con un ricordo molto negativo legato allo sport e all'attività fisica.</w:t>
      </w:r>
    </w:p>
    <w:p w14:paraId="7BE1ABBE">
      <w:pPr>
        <w:spacing w:after="80"/>
      </w:pPr>
    </w:p>
    <w:p w14:paraId="771AD993">
      <w:pPr>
        <w:spacing w:before="300" w:after="80"/>
      </w:pPr>
      <w:r>
        <w:rPr>
          <w:b/>
          <w:bCs/>
          <w:color w:val="1B3A6B"/>
          <w:sz w:val="26"/>
          <w:szCs w:val="26"/>
        </w:rPr>
        <w:t>1.1 Le conseguenze dell'inattività fisica giovanile</w:t>
      </w:r>
    </w:p>
    <w:p w14:paraId="38973256">
      <w:pPr>
        <w:pStyle w:val="17"/>
        <w:numPr>
          <w:ilvl w:val="0"/>
          <w:numId w:val="1"/>
        </w:numPr>
        <w:spacing w:before="60" w:after="60"/>
      </w:pPr>
      <w:r>
        <w:t>Sovrappeso e obesità giovanile — il calo di efficienza scoraggia qualsiasi forma di attività collettiva</w:t>
      </w:r>
    </w:p>
    <w:p w14:paraId="313D267F">
      <w:pPr>
        <w:pStyle w:val="17"/>
        <w:numPr>
          <w:ilvl w:val="0"/>
          <w:numId w:val="1"/>
        </w:numPr>
        <w:spacing w:before="60" w:after="60"/>
      </w:pPr>
      <w:r>
        <w:t>Perdita di autostima — chi non riesce a stare al passo con i coetanei tende a evitare le situazioni di confronto fisico</w:t>
      </w:r>
    </w:p>
    <w:p w14:paraId="0AC2CD33">
      <w:pPr>
        <w:pStyle w:val="17"/>
        <w:numPr>
          <w:ilvl w:val="0"/>
          <w:numId w:val="1"/>
        </w:numPr>
        <w:spacing w:before="60" w:after="60"/>
      </w:pPr>
      <w:r>
        <w:t>Isolamento sociale — le attività ricreative basate sul movimento diventano fonte di ansia</w:t>
      </w:r>
    </w:p>
    <w:p w14:paraId="4D00BA7F">
      <w:pPr>
        <w:pStyle w:val="17"/>
        <w:numPr>
          <w:ilvl w:val="0"/>
          <w:numId w:val="1"/>
        </w:numPr>
        <w:spacing w:before="60" w:after="60"/>
      </w:pPr>
      <w:r>
        <w:t>Sedentarietà cronica nell'adulto — le abitudini motorie si consolidano proprio in questa fascia d'età</w:t>
      </w:r>
    </w:p>
    <w:p w14:paraId="3BB0096D">
      <w:pPr>
        <w:pStyle w:val="17"/>
        <w:numPr>
          <w:ilvl w:val="0"/>
          <w:numId w:val="1"/>
        </w:numPr>
        <w:spacing w:before="60" w:after="60"/>
      </w:pPr>
      <w:r>
        <w:t>Carenza di massa muscolare — dato spesso ignorato ma cruciale nell'età evolutiva per la salute metabolica futura</w:t>
      </w:r>
    </w:p>
    <w:p w14:paraId="0A680C19">
      <w:pPr>
        <w:spacing w:after="60"/>
      </w:pPr>
    </w:p>
    <w:p w14:paraId="2F091C9F">
      <w:pPr>
        <w:pBdr>
          <w:bottom w:val="single" w:color="C9A84C" w:sz="10" w:space="6"/>
        </w:pBdr>
        <w:spacing w:before="480" w:after="100"/>
      </w:pPr>
      <w:r>
        <w:rPr>
          <w:b/>
          <w:bCs/>
          <w:color w:val="1B3A6B"/>
          <w:sz w:val="34"/>
          <w:szCs w:val="34"/>
        </w:rPr>
        <w:t>2. Il progetto Sport su Misura</w:t>
      </w:r>
    </w:p>
    <w:p w14:paraId="6EE155D2">
      <w:pPr>
        <w:spacing w:before="60" w:after="80"/>
        <w:jc w:val="both"/>
      </w:pPr>
      <w:r>
        <w:t>L'obiettivo del progetto è intervenire sugli studenti della fascia 14–16 anni — sia chi pratica sport e rischia di abbandonarlo, sia chi non ha obiettivi particolari e rischia di scivolare nell'inattività quasi totale, fortemente distratto dai media e dai social. L'inattività fisica tende ad autoalimentarsi, facilitando il sovrappeso e in alcuni casi l'obesità, aumentando il senso di inadeguatezza e incidendo sulla socialità.</w:t>
      </w:r>
    </w:p>
    <w:p w14:paraId="385CD464">
      <w:pPr>
        <w:spacing w:before="60" w:after="80"/>
        <w:jc w:val="both"/>
      </w:pPr>
      <w:r>
        <w:t>Si propone pertanto un progetto fondato sull'uso sistematico dei percentili come strumento di feedback individuale, capace di motivare alla pratica fisica attraverso obiettivi non solo competitivi ma personali e progressivi.</w:t>
      </w:r>
    </w:p>
    <w:p w14:paraId="6B484114">
      <w:pPr>
        <w:spacing w:after="80"/>
      </w:pPr>
    </w:p>
    <w:p w14:paraId="7AD9D5D0">
      <w:pPr>
        <w:spacing w:before="300" w:after="80"/>
      </w:pPr>
      <w:r>
        <w:rPr>
          <w:b/>
          <w:bCs/>
          <w:color w:val="1B3A6B"/>
          <w:sz w:val="26"/>
          <w:szCs w:val="26"/>
        </w:rPr>
        <w:t>Perché i percentili</w:t>
      </w:r>
    </w:p>
    <w:p w14:paraId="20645B53">
      <w:pPr>
        <w:pBdr>
          <w:left w:val="single" w:color="C9A84C" w:sz="28" w:space="10"/>
        </w:pBdr>
        <w:shd w:val="clear" w:color="auto" w:fill="FEF9ED"/>
        <w:spacing w:before="200" w:after="200"/>
        <w:ind w:left="400" w:right="400"/>
      </w:pPr>
      <w:r>
        <w:rPr>
          <w:color w:val="1B3A6B"/>
        </w:rPr>
        <w:t>Il percentile non è un voto. È uno specchio: dice al ragazzo dove si trova rispetto ai suoi coetanei, e soprattutto — dove può arrivare.</w:t>
      </w:r>
    </w:p>
    <w:p w14:paraId="45BCD5F0">
      <w:pPr>
        <w:spacing w:before="60" w:after="80"/>
        <w:jc w:val="both"/>
      </w:pPr>
      <w:r>
        <w:t>L'utilizzo dei percentili nell'educazione fisica non è una novità scientifica: è una novità applicativa. Strumenti semplici, economici, non invasivi, già validati dalla letteratura internazionale — ma non ancora integrati nella pratica quotidiana su scala nazionale in Italia, con un sistema digitale dedicato.</w:t>
      </w:r>
    </w:p>
    <w:p w14:paraId="0A33B789">
      <w:pPr>
        <w:spacing w:after="80"/>
      </w:pPr>
    </w:p>
    <w:p w14:paraId="1613BADA">
      <w:pPr>
        <w:spacing w:before="300" w:after="80"/>
      </w:pPr>
      <w:r>
        <w:rPr>
          <w:b/>
          <w:bCs/>
          <w:color w:val="1B3A6B"/>
          <w:sz w:val="26"/>
          <w:szCs w:val="26"/>
        </w:rPr>
        <w:t>2.1 Perché i percentili funzionano</w:t>
      </w:r>
    </w:p>
    <w:p w14:paraId="42A30412">
      <w:pPr>
        <w:spacing w:before="60" w:after="80"/>
        <w:jc w:val="both"/>
      </w:pPr>
      <w:r>
        <w:t>Calibrati sull'età e sul sesso: a differenza dei valori assoluti, i percentili confrontano il valore di ogni studente rispetto a una scala di riferimento elaborata per sesso e anno di età. Un salto in lungo di 150 cm ha un significato completamente diverso a 14 anni rispetto ai 16, e tra maschi e femmine.</w:t>
      </w:r>
    </w:p>
    <w:p w14:paraId="51291B33">
      <w:pPr>
        <w:spacing w:before="60" w:after="80"/>
        <w:jc w:val="both"/>
      </w:pPr>
      <w:r>
        <w:t>Il PHV può temporaneamente ridurre il tasso di crescita delle prestazioni motorie anche nei ragazzi più dotati. Con i percentili anno per anno, questo fenomeno è visibile e spiegabile: non è una perdita di qualità, è un effetto della crescita.</w:t>
      </w:r>
    </w:p>
    <w:p w14:paraId="543EBDA1">
      <w:pPr>
        <w:spacing w:before="60" w:after="80"/>
        <w:jc w:val="both"/>
      </w:pPr>
      <w:r>
        <w:t>Invece di competere con i più forti della classe, ogni studente compete con sé stesso. L'obiettivo è migliorare il proprio percentile nel tempo — un traguardo misurabile, personale, progressivo su molte componenti.</w:t>
      </w:r>
    </w:p>
    <w:p w14:paraId="2DBD2B88">
      <w:pPr>
        <w:spacing w:before="60" w:after="80"/>
        <w:jc w:val="both"/>
      </w:pPr>
      <w:r>
        <w:t>I ragazzi in sovrappeso, con deficit di forza o scarsa resistenza aerobica non emergono nelle valutazioni tradizionali orientate alla competizione. Il sistema percentile li individua con precisione e permette di costruire programmi di intervento mirati prima che la sedentarietà diventi cronica.</w:t>
      </w:r>
    </w:p>
    <w:p w14:paraId="53BD634A">
      <w:pPr>
        <w:spacing w:after="120"/>
      </w:pPr>
    </w:p>
    <w:p w14:paraId="3C2703A9">
      <w:pPr>
        <w:spacing w:before="300" w:after="80"/>
      </w:pPr>
      <w:r>
        <w:rPr>
          <w:b/>
          <w:bCs/>
          <w:color w:val="1B3A6B"/>
          <w:sz w:val="26"/>
          <w:szCs w:val="26"/>
        </w:rPr>
        <w:t>2.2 Le 7 applicazioni pedagogiche dei percentili</w:t>
      </w:r>
    </w:p>
    <w:p w14:paraId="63C6C175">
      <w:pPr>
        <w:spacing w:after="60"/>
      </w:pP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60"/>
        <w:gridCol w:w="2400"/>
        <w:gridCol w:w="6346"/>
      </w:tblGrid>
      <w:tr w14:paraId="747A4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nil"/>
              <w:left w:val="nil"/>
              <w:bottom w:val="nil"/>
              <w:right w:val="nil"/>
            </w:tcBorders>
            <w:shd w:val="clear" w:color="auto" w:fill="1B3A6B"/>
            <w:tcMar>
              <w:top w:w="120" w:type="dxa"/>
              <w:left w:w="140" w:type="dxa"/>
              <w:bottom w:w="120" w:type="dxa"/>
              <w:right w:w="140" w:type="dxa"/>
            </w:tcMar>
            <w:vAlign w:val="center"/>
          </w:tcPr>
          <w:p w14:paraId="4A740991">
            <w:pPr>
              <w:jc w:val="center"/>
            </w:pPr>
            <w:r>
              <w:rPr>
                <w:b/>
                <w:bCs/>
                <w:color w:val="FFFFFF"/>
                <w:sz w:val="18"/>
                <w:szCs w:val="18"/>
              </w:rPr>
              <w:t>N°</w:t>
            </w:r>
          </w:p>
        </w:tc>
        <w:tc>
          <w:tcPr>
            <w:tcW w:w="2400" w:type="dxa"/>
            <w:tcBorders>
              <w:top w:val="nil"/>
              <w:left w:val="nil"/>
              <w:bottom w:val="nil"/>
              <w:right w:val="nil"/>
            </w:tcBorders>
            <w:shd w:val="clear" w:color="auto" w:fill="1B3A6B"/>
            <w:tcMar>
              <w:top w:w="120" w:type="dxa"/>
              <w:left w:w="140" w:type="dxa"/>
              <w:bottom w:w="120" w:type="dxa"/>
              <w:right w:w="140" w:type="dxa"/>
            </w:tcMar>
            <w:vAlign w:val="center"/>
          </w:tcPr>
          <w:p w14:paraId="486EC9AE">
            <w:pPr>
              <w:jc w:val="center"/>
            </w:pPr>
            <w:r>
              <w:rPr>
                <w:b/>
                <w:bCs/>
                <w:color w:val="FFFFFF"/>
                <w:sz w:val="18"/>
                <w:szCs w:val="18"/>
              </w:rPr>
              <w:t>Applicazione</w:t>
            </w:r>
          </w:p>
        </w:tc>
        <w:tc>
          <w:tcPr>
            <w:tcW w:w="6346" w:type="dxa"/>
            <w:tcBorders>
              <w:top w:val="nil"/>
              <w:left w:val="nil"/>
              <w:bottom w:val="nil"/>
              <w:right w:val="nil"/>
            </w:tcBorders>
            <w:shd w:val="clear" w:color="auto" w:fill="1B3A6B"/>
            <w:tcMar>
              <w:top w:w="120" w:type="dxa"/>
              <w:left w:w="140" w:type="dxa"/>
              <w:bottom w:w="120" w:type="dxa"/>
              <w:right w:w="140" w:type="dxa"/>
            </w:tcMar>
            <w:vAlign w:val="center"/>
          </w:tcPr>
          <w:p w14:paraId="27C074B4">
            <w:pPr>
              <w:jc w:val="center"/>
            </w:pPr>
            <w:r>
              <w:rPr>
                <w:b/>
                <w:bCs/>
                <w:color w:val="FFFFFF"/>
                <w:sz w:val="18"/>
                <w:szCs w:val="18"/>
              </w:rPr>
              <w:t>Descrizione</w:t>
            </w:r>
          </w:p>
        </w:tc>
      </w:tr>
      <w:tr w14:paraId="4716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nil"/>
              <w:left w:val="nil"/>
              <w:bottom w:val="nil"/>
              <w:right w:val="nil"/>
            </w:tcBorders>
            <w:shd w:val="clear" w:color="auto" w:fill="C9A84C"/>
            <w:tcMar>
              <w:top w:w="80" w:type="dxa"/>
              <w:left w:w="80" w:type="dxa"/>
              <w:bottom w:w="80" w:type="dxa"/>
              <w:right w:w="80" w:type="dxa"/>
            </w:tcMar>
            <w:vAlign w:val="center"/>
          </w:tcPr>
          <w:p w14:paraId="72BE7C79">
            <w:pPr>
              <w:jc w:val="center"/>
            </w:pPr>
            <w:r>
              <w:rPr>
                <w:b/>
                <w:bCs/>
                <w:color w:val="FFFFFF"/>
                <w:sz w:val="22"/>
                <w:szCs w:val="22"/>
              </w:rPr>
              <w:t>1</w:t>
            </w:r>
          </w:p>
        </w:tc>
        <w:tc>
          <w:tcPr>
            <w:tcW w:w="24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vAlign w:val="center"/>
          </w:tcPr>
          <w:p w14:paraId="430CD6D0">
            <w:r>
              <w:rPr>
                <w:b/>
                <w:bCs/>
                <w:color w:val="1B3A6B"/>
                <w:sz w:val="18"/>
                <w:szCs w:val="18"/>
              </w:rPr>
              <w:t>Valutazione fitness individuale</w:t>
            </w:r>
          </w:p>
        </w:tc>
        <w:tc>
          <w:tcPr>
            <w:tcW w:w="6346"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34EA7A7D">
            <w:pPr>
              <w:jc w:val="both"/>
            </w:pPr>
            <w:r>
              <w:rPr>
                <w:sz w:val="18"/>
                <w:szCs w:val="18"/>
              </w:rPr>
              <w:t>Confronto delle prestazioni con dati normativi per fascia d'età e sesso — resistenza, forza, flessibilità, coordinazione.</w:t>
            </w:r>
          </w:p>
        </w:tc>
      </w:tr>
      <w:tr w14:paraId="118D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nil"/>
              <w:left w:val="nil"/>
              <w:bottom w:val="nil"/>
              <w:right w:val="nil"/>
            </w:tcBorders>
            <w:shd w:val="clear" w:color="auto" w:fill="C9A84C"/>
            <w:tcMar>
              <w:top w:w="80" w:type="dxa"/>
              <w:left w:w="80" w:type="dxa"/>
              <w:bottom w:w="80" w:type="dxa"/>
              <w:right w:w="80" w:type="dxa"/>
            </w:tcMar>
            <w:vAlign w:val="center"/>
          </w:tcPr>
          <w:p w14:paraId="5471F2A8">
            <w:pPr>
              <w:jc w:val="center"/>
            </w:pPr>
            <w:r>
              <w:rPr>
                <w:b/>
                <w:bCs/>
                <w:color w:val="FFFFFF"/>
                <w:sz w:val="22"/>
                <w:szCs w:val="22"/>
              </w:rPr>
              <w:t>2</w:t>
            </w:r>
          </w:p>
        </w:tc>
        <w:tc>
          <w:tcPr>
            <w:tcW w:w="2400"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vAlign w:val="center"/>
          </w:tcPr>
          <w:p w14:paraId="42847203">
            <w:r>
              <w:rPr>
                <w:b/>
                <w:bCs/>
                <w:color w:val="1B3A6B"/>
                <w:sz w:val="18"/>
                <w:szCs w:val="18"/>
              </w:rPr>
              <w:t>Programmi personalizzati</w:t>
            </w:r>
          </w:p>
        </w:tc>
        <w:tc>
          <w:tcPr>
            <w:tcW w:w="6346"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3B5D36B9">
            <w:pPr>
              <w:jc w:val="both"/>
            </w:pPr>
            <w:r>
              <w:rPr>
                <w:sz w:val="18"/>
                <w:szCs w:val="18"/>
              </w:rPr>
              <w:t>Il percentile basso in un test specifico indica dove intervenire. Il percentile alto indica dove valorizzare e progredire.</w:t>
            </w:r>
          </w:p>
        </w:tc>
      </w:tr>
      <w:tr w14:paraId="138B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nil"/>
              <w:left w:val="nil"/>
              <w:bottom w:val="nil"/>
              <w:right w:val="nil"/>
            </w:tcBorders>
            <w:shd w:val="clear" w:color="auto" w:fill="C9A84C"/>
            <w:tcMar>
              <w:top w:w="80" w:type="dxa"/>
              <w:left w:w="80" w:type="dxa"/>
              <w:bottom w:w="80" w:type="dxa"/>
              <w:right w:w="80" w:type="dxa"/>
            </w:tcMar>
            <w:vAlign w:val="center"/>
          </w:tcPr>
          <w:p w14:paraId="3DF3F374">
            <w:pPr>
              <w:jc w:val="center"/>
            </w:pPr>
            <w:r>
              <w:rPr>
                <w:b/>
                <w:bCs/>
                <w:color w:val="FFFFFF"/>
                <w:sz w:val="22"/>
                <w:szCs w:val="22"/>
              </w:rPr>
              <w:t>3</w:t>
            </w:r>
          </w:p>
        </w:tc>
        <w:tc>
          <w:tcPr>
            <w:tcW w:w="24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vAlign w:val="center"/>
          </w:tcPr>
          <w:p w14:paraId="7317132A">
            <w:r>
              <w:rPr>
                <w:b/>
                <w:bCs/>
                <w:color w:val="1B3A6B"/>
                <w:sz w:val="18"/>
                <w:szCs w:val="18"/>
              </w:rPr>
              <w:t>Definizione degli obiettivi</w:t>
            </w:r>
          </w:p>
        </w:tc>
        <w:tc>
          <w:tcPr>
            <w:tcW w:w="6346"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36ECFC92">
            <w:pPr>
              <w:jc w:val="both"/>
            </w:pPr>
            <w:r>
              <w:rPr>
                <w:sz w:val="18"/>
                <w:szCs w:val="18"/>
              </w:rPr>
              <w:t>Migliorare il proprio percentile è un obiettivo realistico, misurabile e motivante — indipendente dalla competizione con i compagni.</w:t>
            </w:r>
          </w:p>
        </w:tc>
      </w:tr>
      <w:tr w14:paraId="70747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nil"/>
              <w:left w:val="nil"/>
              <w:bottom w:val="nil"/>
              <w:right w:val="nil"/>
            </w:tcBorders>
            <w:shd w:val="clear" w:color="auto" w:fill="C9A84C"/>
            <w:tcMar>
              <w:top w:w="80" w:type="dxa"/>
              <w:left w:w="80" w:type="dxa"/>
              <w:bottom w:w="80" w:type="dxa"/>
              <w:right w:w="80" w:type="dxa"/>
            </w:tcMar>
            <w:vAlign w:val="center"/>
          </w:tcPr>
          <w:p w14:paraId="4095933D">
            <w:pPr>
              <w:jc w:val="center"/>
            </w:pPr>
            <w:r>
              <w:rPr>
                <w:b/>
                <w:bCs/>
                <w:color w:val="FFFFFF"/>
                <w:sz w:val="22"/>
                <w:szCs w:val="22"/>
              </w:rPr>
              <w:t>4</w:t>
            </w:r>
          </w:p>
        </w:tc>
        <w:tc>
          <w:tcPr>
            <w:tcW w:w="2400"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vAlign w:val="center"/>
          </w:tcPr>
          <w:p w14:paraId="2EC48EB0">
            <w:r>
              <w:rPr>
                <w:b/>
                <w:bCs/>
                <w:color w:val="1B3A6B"/>
                <w:sz w:val="18"/>
                <w:szCs w:val="18"/>
              </w:rPr>
              <w:t>Monitoraggio longitudinale</w:t>
            </w:r>
          </w:p>
        </w:tc>
        <w:tc>
          <w:tcPr>
            <w:tcW w:w="6346"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21C1FDA8">
            <w:pPr>
              <w:jc w:val="both"/>
            </w:pPr>
            <w:r>
              <w:rPr>
                <w:sz w:val="18"/>
                <w:szCs w:val="18"/>
              </w:rPr>
              <w:t>Tre rilevazioni annuali permettono di seguire la traiettoria di sviluppo e adattare il piano didattico in tempo reale.</w:t>
            </w:r>
          </w:p>
        </w:tc>
      </w:tr>
      <w:tr w14:paraId="6F4E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nil"/>
              <w:left w:val="nil"/>
              <w:bottom w:val="nil"/>
              <w:right w:val="nil"/>
            </w:tcBorders>
            <w:shd w:val="clear" w:color="auto" w:fill="C9A84C"/>
            <w:tcMar>
              <w:top w:w="80" w:type="dxa"/>
              <w:left w:w="80" w:type="dxa"/>
              <w:bottom w:w="80" w:type="dxa"/>
              <w:right w:w="80" w:type="dxa"/>
            </w:tcMar>
            <w:vAlign w:val="center"/>
          </w:tcPr>
          <w:p w14:paraId="0B061010">
            <w:pPr>
              <w:jc w:val="center"/>
            </w:pPr>
            <w:r>
              <w:rPr>
                <w:b/>
                <w:bCs/>
                <w:color w:val="FFFFFF"/>
                <w:sz w:val="22"/>
                <w:szCs w:val="22"/>
              </w:rPr>
              <w:t>5</w:t>
            </w:r>
          </w:p>
        </w:tc>
        <w:tc>
          <w:tcPr>
            <w:tcW w:w="24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vAlign w:val="center"/>
          </w:tcPr>
          <w:p w14:paraId="14ABD99A">
            <w:r>
              <w:rPr>
                <w:b/>
                <w:bCs/>
                <w:color w:val="1B3A6B"/>
                <w:sz w:val="18"/>
                <w:szCs w:val="18"/>
              </w:rPr>
              <w:t>Strategie di inclusione</w:t>
            </w:r>
          </w:p>
        </w:tc>
        <w:tc>
          <w:tcPr>
            <w:tcW w:w="6346"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6B9745D4">
            <w:pPr>
              <w:jc w:val="both"/>
            </w:pPr>
            <w:r>
              <w:rPr>
                <w:sz w:val="18"/>
                <w:szCs w:val="18"/>
              </w:rPr>
              <w:t>I soggetti meno efficienti — sovrappeso, deficit muscolare, scarsa resistenza — vengono identificati e supportati con interventi specifici e una prescrizione personalizzata.</w:t>
            </w:r>
          </w:p>
        </w:tc>
      </w:tr>
      <w:tr w14:paraId="38E1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nil"/>
              <w:left w:val="nil"/>
              <w:bottom w:val="nil"/>
              <w:right w:val="nil"/>
            </w:tcBorders>
            <w:shd w:val="clear" w:color="auto" w:fill="C9A84C"/>
            <w:tcMar>
              <w:top w:w="80" w:type="dxa"/>
              <w:left w:w="80" w:type="dxa"/>
              <w:bottom w:w="80" w:type="dxa"/>
              <w:right w:w="80" w:type="dxa"/>
            </w:tcMar>
            <w:vAlign w:val="center"/>
          </w:tcPr>
          <w:p w14:paraId="1D920AF2">
            <w:pPr>
              <w:jc w:val="center"/>
            </w:pPr>
            <w:r>
              <w:rPr>
                <w:b/>
                <w:bCs/>
                <w:color w:val="FFFFFF"/>
                <w:sz w:val="22"/>
                <w:szCs w:val="22"/>
              </w:rPr>
              <w:t>6</w:t>
            </w:r>
          </w:p>
        </w:tc>
        <w:tc>
          <w:tcPr>
            <w:tcW w:w="2400"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vAlign w:val="center"/>
          </w:tcPr>
          <w:p w14:paraId="5CADAE8E">
            <w:r>
              <w:rPr>
                <w:b/>
                <w:bCs/>
                <w:color w:val="1B3A6B"/>
                <w:sz w:val="18"/>
                <w:szCs w:val="18"/>
              </w:rPr>
              <w:t>Orientamento sportivo</w:t>
            </w:r>
          </w:p>
        </w:tc>
        <w:tc>
          <w:tcPr>
            <w:tcW w:w="6346"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1B2A8FC2">
            <w:pPr>
              <w:jc w:val="both"/>
            </w:pPr>
            <w:r>
              <w:rPr>
                <w:sz w:val="18"/>
                <w:szCs w:val="18"/>
              </w:rPr>
              <w:t>I percentili per test specifici possono predire l'attitudine per alcune discipline e una potenzialità motoria integrata con lo stato di crescita.</w:t>
            </w:r>
          </w:p>
        </w:tc>
      </w:tr>
      <w:tr w14:paraId="0BD0B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60" w:type="dxa"/>
            <w:tcBorders>
              <w:top w:val="nil"/>
              <w:left w:val="nil"/>
              <w:bottom w:val="nil"/>
              <w:right w:val="nil"/>
            </w:tcBorders>
            <w:shd w:val="clear" w:color="auto" w:fill="C9A84C"/>
            <w:tcMar>
              <w:top w:w="80" w:type="dxa"/>
              <w:left w:w="80" w:type="dxa"/>
              <w:bottom w:w="80" w:type="dxa"/>
              <w:right w:w="80" w:type="dxa"/>
            </w:tcMar>
            <w:vAlign w:val="center"/>
          </w:tcPr>
          <w:p w14:paraId="5614AAA4">
            <w:pPr>
              <w:jc w:val="center"/>
            </w:pPr>
            <w:r>
              <w:rPr>
                <w:b/>
                <w:bCs/>
                <w:color w:val="FFFFFF"/>
                <w:sz w:val="22"/>
                <w:szCs w:val="22"/>
              </w:rPr>
              <w:t>7</w:t>
            </w:r>
          </w:p>
        </w:tc>
        <w:tc>
          <w:tcPr>
            <w:tcW w:w="24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vAlign w:val="center"/>
          </w:tcPr>
          <w:p w14:paraId="18DF6353">
            <w:r>
              <w:rPr>
                <w:b/>
                <w:bCs/>
                <w:color w:val="1B3A6B"/>
                <w:sz w:val="18"/>
                <w:szCs w:val="18"/>
              </w:rPr>
              <w:t>Analisi comparativa M/F</w:t>
            </w:r>
          </w:p>
        </w:tc>
        <w:tc>
          <w:tcPr>
            <w:tcW w:w="6346"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05367523">
            <w:pPr>
              <w:jc w:val="both"/>
            </w:pPr>
            <w:r>
              <w:rPr>
                <w:sz w:val="18"/>
                <w:szCs w:val="18"/>
              </w:rPr>
              <w:t>I percentili per sesso e anno permettono di valutare le differenze e adattare la prescrizione tra ragazzi e ragazze nelle diverse componenti motorie.</w:t>
            </w:r>
          </w:p>
        </w:tc>
      </w:tr>
    </w:tbl>
    <w:p w14:paraId="3AA2A944">
      <w:pPr>
        <w:spacing w:after="60"/>
      </w:pPr>
    </w:p>
    <w:p w14:paraId="3DC2D6F3">
      <w:pPr>
        <w:pBdr>
          <w:bottom w:val="single" w:color="C9A84C" w:sz="10" w:space="6"/>
        </w:pBdr>
        <w:spacing w:before="480" w:after="100"/>
      </w:pPr>
      <w:r>
        <w:rPr>
          <w:b/>
          <w:bCs/>
          <w:color w:val="1B3A6B"/>
          <w:sz w:val="34"/>
          <w:szCs w:val="34"/>
        </w:rPr>
        <w:t>3. Come funziona</w:t>
      </w:r>
    </w:p>
    <w:p w14:paraId="28CEF404">
      <w:pPr>
        <w:spacing w:before="60" w:after="80"/>
        <w:jc w:val="both"/>
      </w:pPr>
      <w:r>
        <w:t>L'insegnante rileva e inserisce i dati degli studenti — dati antropometrici e risultati dei test motori — in tre sessioni annuali standardizzate (Ottobre, Febbraio, Maggio). Il sistema calcola automaticamente:</w:t>
      </w:r>
    </w:p>
    <w:p w14:paraId="11C69EA4">
      <w:pPr>
        <w:pStyle w:val="17"/>
        <w:numPr>
          <w:ilvl w:val="0"/>
          <w:numId w:val="1"/>
        </w:numPr>
        <w:spacing w:before="60" w:after="60"/>
      </w:pPr>
      <w:r>
        <w:t>Il BMI per età e sesso secondo le classificazioni OMS pediatriche</w:t>
      </w:r>
    </w:p>
    <w:p w14:paraId="1113D9BB">
      <w:pPr>
        <w:pStyle w:val="17"/>
        <w:numPr>
          <w:ilvl w:val="0"/>
          <w:numId w:val="1"/>
        </w:numPr>
        <w:spacing w:before="60" w:after="60"/>
      </w:pPr>
      <w:r>
        <w:t>Il percentile Eurofit per ogni test, incrociando il valore grezzo con le tabelle di riferimento per sesso, età e semestre di nascita</w:t>
      </w:r>
    </w:p>
    <w:p w14:paraId="11DD0A82">
      <w:pPr>
        <w:pStyle w:val="17"/>
        <w:numPr>
          <w:ilvl w:val="0"/>
          <w:numId w:val="1"/>
        </w:numPr>
        <w:spacing w:before="60" w:after="60"/>
      </w:pPr>
      <w:r>
        <w:t>Il delta tra le rilevazioni — variazione dalla prima alla seconda e dalla prima alla terza — per misurare la progressione individuale</w:t>
      </w:r>
    </w:p>
    <w:p w14:paraId="24AF0E3F">
      <w:pPr>
        <w:pStyle w:val="17"/>
        <w:numPr>
          <w:ilvl w:val="0"/>
          <w:numId w:val="1"/>
        </w:numPr>
        <w:spacing w:before="60" w:after="60"/>
      </w:pPr>
      <w:r>
        <w:t>Un giudizio sintetico automatico: somma dei centili delle diverse rilevazioni, personalizzato</w:t>
      </w:r>
    </w:p>
    <w:p w14:paraId="306E1AA8">
      <w:pPr>
        <w:pStyle w:val="17"/>
        <w:numPr>
          <w:ilvl w:val="0"/>
          <w:numId w:val="1"/>
        </w:numPr>
        <w:spacing w:before="60" w:after="60"/>
      </w:pPr>
      <w:r>
        <w:t>Una scheda individuale stampabile in PDF per ogni studente, condivisibile con le famiglie a discrezione del docente</w:t>
      </w:r>
    </w:p>
    <w:p w14:paraId="13E2EE6A">
      <w:pPr>
        <w:spacing w:after="80"/>
      </w:pPr>
    </w:p>
    <w:p w14:paraId="63C81A9F">
      <w:pPr>
        <w:spacing w:before="300" w:after="80"/>
      </w:pPr>
      <w:r>
        <w:rPr>
          <w:b/>
          <w:bCs/>
          <w:color w:val="1B3A6B"/>
          <w:sz w:val="26"/>
          <w:szCs w:val="26"/>
        </w:rPr>
        <w:t>3.1 I test motori adottati</w:t>
      </w:r>
    </w:p>
    <w:p w14:paraId="35731DA0">
      <w:pPr>
        <w:spacing w:before="60" w:after="80"/>
        <w:jc w:val="both"/>
      </w:pPr>
      <w:r>
        <w:t>Il sistema adotta la batteria Eurofit — European Test of Physical Fitness — riconosciuta internazionalmente e già validata per la fascia 14–16 anni. I test coprono tutte le dimensioni principali dell'efficienza motoria.</w:t>
      </w:r>
    </w:p>
    <w:p w14:paraId="1ACE5E9A">
      <w:pPr>
        <w:spacing w:after="60"/>
      </w:pP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12"/>
        <w:gridCol w:w="1995"/>
        <w:gridCol w:w="1995"/>
        <w:gridCol w:w="4604"/>
      </w:tblGrid>
      <w:tr w14:paraId="6F44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2" w:type="dxa"/>
            <w:tcBorders>
              <w:top w:val="nil"/>
              <w:left w:val="nil"/>
              <w:bottom w:val="nil"/>
              <w:right w:val="nil"/>
            </w:tcBorders>
            <w:shd w:val="clear" w:color="auto" w:fill="1B3A6B"/>
            <w:tcMar>
              <w:top w:w="120" w:type="dxa"/>
              <w:left w:w="140" w:type="dxa"/>
              <w:bottom w:w="120" w:type="dxa"/>
              <w:right w:w="140" w:type="dxa"/>
            </w:tcMar>
            <w:vAlign w:val="center"/>
          </w:tcPr>
          <w:p w14:paraId="673869AA">
            <w:pPr>
              <w:jc w:val="center"/>
            </w:pPr>
            <w:r>
              <w:rPr>
                <w:b/>
                <w:bCs/>
                <w:color w:val="FFFFFF"/>
                <w:sz w:val="18"/>
                <w:szCs w:val="18"/>
              </w:rPr>
              <w:t>Sigla</w:t>
            </w:r>
          </w:p>
        </w:tc>
        <w:tc>
          <w:tcPr>
            <w:tcW w:w="1995" w:type="dxa"/>
            <w:tcBorders>
              <w:top w:val="nil"/>
              <w:left w:val="nil"/>
              <w:bottom w:val="nil"/>
              <w:right w:val="nil"/>
            </w:tcBorders>
            <w:shd w:val="clear" w:color="auto" w:fill="1B3A6B"/>
            <w:tcMar>
              <w:top w:w="120" w:type="dxa"/>
              <w:left w:w="140" w:type="dxa"/>
              <w:bottom w:w="120" w:type="dxa"/>
              <w:right w:w="140" w:type="dxa"/>
            </w:tcMar>
            <w:vAlign w:val="center"/>
          </w:tcPr>
          <w:p w14:paraId="51AE6B63">
            <w:pPr>
              <w:jc w:val="center"/>
            </w:pPr>
            <w:r>
              <w:rPr>
                <w:b/>
                <w:bCs/>
                <w:color w:val="FFFFFF"/>
                <w:sz w:val="18"/>
                <w:szCs w:val="18"/>
              </w:rPr>
              <w:t>Test</w:t>
            </w:r>
          </w:p>
        </w:tc>
        <w:tc>
          <w:tcPr>
            <w:tcW w:w="1995" w:type="dxa"/>
            <w:tcBorders>
              <w:top w:val="nil"/>
              <w:left w:val="nil"/>
              <w:bottom w:val="nil"/>
              <w:right w:val="nil"/>
            </w:tcBorders>
            <w:shd w:val="clear" w:color="auto" w:fill="1B3A6B"/>
            <w:tcMar>
              <w:top w:w="120" w:type="dxa"/>
              <w:left w:w="140" w:type="dxa"/>
              <w:bottom w:w="120" w:type="dxa"/>
              <w:right w:w="140" w:type="dxa"/>
            </w:tcMar>
            <w:vAlign w:val="center"/>
          </w:tcPr>
          <w:p w14:paraId="235CCA37">
            <w:pPr>
              <w:jc w:val="center"/>
            </w:pPr>
            <w:r>
              <w:rPr>
                <w:b/>
                <w:bCs/>
                <w:color w:val="FFFFFF"/>
                <w:sz w:val="18"/>
                <w:szCs w:val="18"/>
              </w:rPr>
              <w:t>Capacità misurata</w:t>
            </w:r>
          </w:p>
        </w:tc>
        <w:tc>
          <w:tcPr>
            <w:tcW w:w="4604" w:type="dxa"/>
            <w:tcBorders>
              <w:top w:val="nil"/>
              <w:left w:val="nil"/>
              <w:bottom w:val="nil"/>
              <w:right w:val="nil"/>
            </w:tcBorders>
            <w:shd w:val="clear" w:color="auto" w:fill="1B3A6B"/>
            <w:tcMar>
              <w:top w:w="120" w:type="dxa"/>
              <w:left w:w="140" w:type="dxa"/>
              <w:bottom w:w="120" w:type="dxa"/>
              <w:right w:w="140" w:type="dxa"/>
            </w:tcMar>
            <w:vAlign w:val="center"/>
          </w:tcPr>
          <w:p w14:paraId="78D92EE0">
            <w:pPr>
              <w:jc w:val="center"/>
            </w:pPr>
            <w:r>
              <w:rPr>
                <w:b/>
                <w:bCs/>
                <w:color w:val="FFFFFF"/>
                <w:sz w:val="18"/>
                <w:szCs w:val="18"/>
              </w:rPr>
              <w:t>Rilevanza pedagogica</w:t>
            </w:r>
          </w:p>
        </w:tc>
      </w:tr>
      <w:tr w14:paraId="11A4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2" w:type="dxa"/>
            <w:tcBorders>
              <w:top w:val="single" w:color="CCCCCC" w:sz="4" w:space="0"/>
              <w:left w:val="nil"/>
              <w:bottom w:val="single" w:color="CCCCCC" w:sz="4" w:space="0"/>
              <w:right w:val="nil"/>
            </w:tcBorders>
            <w:shd w:val="clear" w:color="auto" w:fill="1B3A6B"/>
            <w:tcMar>
              <w:top w:w="80" w:type="dxa"/>
              <w:left w:w="80" w:type="dxa"/>
              <w:bottom w:w="80" w:type="dxa"/>
              <w:right w:w="80" w:type="dxa"/>
            </w:tcMar>
            <w:vAlign w:val="center"/>
          </w:tcPr>
          <w:p w14:paraId="1443122E">
            <w:pPr>
              <w:jc w:val="center"/>
            </w:pPr>
            <w:r>
              <w:rPr>
                <w:b/>
                <w:bCs/>
                <w:color w:val="C9A84C"/>
                <w:sz w:val="18"/>
                <w:szCs w:val="18"/>
              </w:rPr>
              <w:t>SL</w:t>
            </w:r>
          </w:p>
        </w:tc>
        <w:tc>
          <w:tcPr>
            <w:tcW w:w="1995"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747A197A">
            <w:r>
              <w:rPr>
                <w:b/>
                <w:bCs/>
                <w:color w:val="1B3A6B"/>
                <w:sz w:val="18"/>
                <w:szCs w:val="18"/>
              </w:rPr>
              <w:t>Salto in lungo da fermo</w:t>
            </w:r>
          </w:p>
        </w:tc>
        <w:tc>
          <w:tcPr>
            <w:tcW w:w="1995"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482F3F20">
            <w:r>
              <w:rPr>
                <w:sz w:val="18"/>
                <w:szCs w:val="18"/>
              </w:rPr>
              <w:t>Forza esplosiva arti inf.</w:t>
            </w:r>
          </w:p>
        </w:tc>
        <w:tc>
          <w:tcPr>
            <w:tcW w:w="4604"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7952E694">
            <w:r>
              <w:rPr>
                <w:sz w:val="18"/>
                <w:szCs w:val="18"/>
              </w:rPr>
              <w:t>Potenza degli arti inferiori negli spostamenti e nel confronto fisico</w:t>
            </w:r>
          </w:p>
        </w:tc>
      </w:tr>
      <w:tr w14:paraId="0A9E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2" w:type="dxa"/>
            <w:tcBorders>
              <w:top w:val="single" w:color="CCCCCC" w:sz="4" w:space="0"/>
              <w:left w:val="nil"/>
              <w:bottom w:val="single" w:color="CCCCCC" w:sz="4" w:space="0"/>
              <w:right w:val="nil"/>
            </w:tcBorders>
            <w:shd w:val="clear" w:color="auto" w:fill="1B3A6B"/>
            <w:tcMar>
              <w:top w:w="80" w:type="dxa"/>
              <w:left w:w="80" w:type="dxa"/>
              <w:bottom w:w="80" w:type="dxa"/>
              <w:right w:w="80" w:type="dxa"/>
            </w:tcMar>
            <w:vAlign w:val="center"/>
          </w:tcPr>
          <w:p w14:paraId="0DFBADE8">
            <w:pPr>
              <w:jc w:val="center"/>
            </w:pPr>
            <w:r>
              <w:rPr>
                <w:b/>
                <w:bCs/>
                <w:color w:val="C9A84C"/>
                <w:sz w:val="18"/>
                <w:szCs w:val="18"/>
              </w:rPr>
              <w:t>EQ</w:t>
            </w:r>
          </w:p>
        </w:tc>
        <w:tc>
          <w:tcPr>
            <w:tcW w:w="1995"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1492770B">
            <w:r>
              <w:rPr>
                <w:b/>
                <w:bCs/>
                <w:color w:val="1B3A6B"/>
                <w:sz w:val="18"/>
                <w:szCs w:val="18"/>
              </w:rPr>
              <w:t>Test equilibrio</w:t>
            </w:r>
          </w:p>
        </w:tc>
        <w:tc>
          <w:tcPr>
            <w:tcW w:w="1995"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3371CEF8">
            <w:r>
              <w:rPr>
                <w:sz w:val="18"/>
                <w:szCs w:val="18"/>
              </w:rPr>
              <w:t>Equilibrio statico</w:t>
            </w:r>
          </w:p>
        </w:tc>
        <w:tc>
          <w:tcPr>
            <w:tcW w:w="4604"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46227178">
            <w:r>
              <w:rPr>
                <w:sz w:val="18"/>
                <w:szCs w:val="18"/>
              </w:rPr>
              <w:t>Controllo posturale e propriocezione</w:t>
            </w:r>
          </w:p>
        </w:tc>
      </w:tr>
      <w:tr w14:paraId="452CB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2" w:type="dxa"/>
            <w:tcBorders>
              <w:top w:val="single" w:color="CCCCCC" w:sz="4" w:space="0"/>
              <w:left w:val="nil"/>
              <w:bottom w:val="single" w:color="CCCCCC" w:sz="4" w:space="0"/>
              <w:right w:val="nil"/>
            </w:tcBorders>
            <w:shd w:val="clear" w:color="auto" w:fill="1B3A6B"/>
            <w:tcMar>
              <w:top w:w="80" w:type="dxa"/>
              <w:left w:w="80" w:type="dxa"/>
              <w:bottom w:w="80" w:type="dxa"/>
              <w:right w:w="80" w:type="dxa"/>
            </w:tcMar>
            <w:vAlign w:val="center"/>
          </w:tcPr>
          <w:p w14:paraId="07978CB9">
            <w:pPr>
              <w:jc w:val="center"/>
            </w:pPr>
            <w:r>
              <w:rPr>
                <w:b/>
                <w:bCs/>
                <w:color w:val="C9A84C"/>
                <w:sz w:val="18"/>
                <w:szCs w:val="18"/>
              </w:rPr>
              <w:t>BD</w:t>
            </w:r>
          </w:p>
        </w:tc>
        <w:tc>
          <w:tcPr>
            <w:tcW w:w="1995"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5347A110">
            <w:r>
              <w:rPr>
                <w:b/>
                <w:bCs/>
                <w:color w:val="1B3A6B"/>
                <w:sz w:val="18"/>
                <w:szCs w:val="18"/>
              </w:rPr>
              <w:t>Battute disco</w:t>
            </w:r>
          </w:p>
        </w:tc>
        <w:tc>
          <w:tcPr>
            <w:tcW w:w="1995"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7552968B">
            <w:r>
              <w:rPr>
                <w:sz w:val="18"/>
                <w:szCs w:val="18"/>
              </w:rPr>
              <w:t>Velocità segmentaria</w:t>
            </w:r>
          </w:p>
        </w:tc>
        <w:tc>
          <w:tcPr>
            <w:tcW w:w="4604"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436AC537">
            <w:r>
              <w:rPr>
                <w:sz w:val="18"/>
                <w:szCs w:val="18"/>
              </w:rPr>
              <w:t>Rapidità e attenzione</w:t>
            </w:r>
          </w:p>
        </w:tc>
      </w:tr>
      <w:tr w14:paraId="3351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2" w:type="dxa"/>
            <w:tcBorders>
              <w:top w:val="single" w:color="CCCCCC" w:sz="4" w:space="0"/>
              <w:left w:val="nil"/>
              <w:bottom w:val="single" w:color="CCCCCC" w:sz="4" w:space="0"/>
              <w:right w:val="nil"/>
            </w:tcBorders>
            <w:shd w:val="clear" w:color="auto" w:fill="1B3A6B"/>
            <w:tcMar>
              <w:top w:w="80" w:type="dxa"/>
              <w:left w:w="80" w:type="dxa"/>
              <w:bottom w:w="80" w:type="dxa"/>
              <w:right w:w="80" w:type="dxa"/>
            </w:tcMar>
            <w:vAlign w:val="center"/>
          </w:tcPr>
          <w:p w14:paraId="543C98DF">
            <w:pPr>
              <w:jc w:val="center"/>
            </w:pPr>
            <w:r>
              <w:rPr>
                <w:b/>
                <w:bCs/>
                <w:color w:val="C9A84C"/>
                <w:sz w:val="18"/>
                <w:szCs w:val="18"/>
              </w:rPr>
              <w:t>EB</w:t>
            </w:r>
          </w:p>
        </w:tc>
        <w:tc>
          <w:tcPr>
            <w:tcW w:w="1995"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7D4F8FA9">
            <w:r>
              <w:rPr>
                <w:b/>
                <w:bCs/>
                <w:color w:val="1B3A6B"/>
                <w:sz w:val="18"/>
                <w:szCs w:val="18"/>
              </w:rPr>
              <w:t>Elevazione del busto</w:t>
            </w:r>
          </w:p>
        </w:tc>
        <w:tc>
          <w:tcPr>
            <w:tcW w:w="1995"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57F7A3E7">
            <w:r>
              <w:rPr>
                <w:sz w:val="18"/>
                <w:szCs w:val="18"/>
              </w:rPr>
              <w:t>Forza del core</w:t>
            </w:r>
          </w:p>
        </w:tc>
        <w:tc>
          <w:tcPr>
            <w:tcW w:w="4604"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6CD922AD">
            <w:r>
              <w:rPr>
                <w:sz w:val="18"/>
                <w:szCs w:val="18"/>
              </w:rPr>
              <w:t>Stabilità — prevenzione dolori posturali</w:t>
            </w:r>
          </w:p>
        </w:tc>
      </w:tr>
      <w:tr w14:paraId="632CB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2" w:type="dxa"/>
            <w:tcBorders>
              <w:top w:val="single" w:color="CCCCCC" w:sz="4" w:space="0"/>
              <w:left w:val="nil"/>
              <w:bottom w:val="single" w:color="CCCCCC" w:sz="4" w:space="0"/>
              <w:right w:val="nil"/>
            </w:tcBorders>
            <w:shd w:val="clear" w:color="auto" w:fill="1B3A6B"/>
            <w:tcMar>
              <w:top w:w="80" w:type="dxa"/>
              <w:left w:w="80" w:type="dxa"/>
              <w:bottom w:w="80" w:type="dxa"/>
              <w:right w:w="80" w:type="dxa"/>
            </w:tcMar>
            <w:vAlign w:val="center"/>
          </w:tcPr>
          <w:p w14:paraId="7F12708B">
            <w:pPr>
              <w:jc w:val="center"/>
            </w:pPr>
            <w:r>
              <w:rPr>
                <w:b/>
                <w:bCs/>
                <w:color w:val="C9A84C"/>
                <w:sz w:val="18"/>
                <w:szCs w:val="18"/>
              </w:rPr>
              <w:t>FB</w:t>
            </w:r>
          </w:p>
        </w:tc>
        <w:tc>
          <w:tcPr>
            <w:tcW w:w="1995"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4A1712B0">
            <w:r>
              <w:rPr>
                <w:b/>
                <w:bCs/>
                <w:color w:val="1B3A6B"/>
                <w:sz w:val="18"/>
                <w:szCs w:val="18"/>
              </w:rPr>
              <w:t>Flessione del busto</w:t>
            </w:r>
          </w:p>
        </w:tc>
        <w:tc>
          <w:tcPr>
            <w:tcW w:w="1995"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070C9749">
            <w:r>
              <w:rPr>
                <w:sz w:val="18"/>
                <w:szCs w:val="18"/>
              </w:rPr>
              <w:t>Flessibilità</w:t>
            </w:r>
          </w:p>
        </w:tc>
        <w:tc>
          <w:tcPr>
            <w:tcW w:w="4604"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2A3AEBFE">
            <w:r>
              <w:rPr>
                <w:sz w:val="18"/>
                <w:szCs w:val="18"/>
              </w:rPr>
              <w:t>Ampiezza e precisione articolare nei movimenti del tronco</w:t>
            </w:r>
          </w:p>
        </w:tc>
      </w:tr>
      <w:tr w14:paraId="1C3E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2" w:type="dxa"/>
            <w:tcBorders>
              <w:top w:val="single" w:color="CCCCCC" w:sz="4" w:space="0"/>
              <w:left w:val="nil"/>
              <w:bottom w:val="single" w:color="CCCCCC" w:sz="4" w:space="0"/>
              <w:right w:val="nil"/>
            </w:tcBorders>
            <w:shd w:val="clear" w:color="auto" w:fill="1B3A6B"/>
            <w:tcMar>
              <w:top w:w="80" w:type="dxa"/>
              <w:left w:w="80" w:type="dxa"/>
              <w:bottom w:w="80" w:type="dxa"/>
              <w:right w:w="80" w:type="dxa"/>
            </w:tcMar>
            <w:vAlign w:val="center"/>
          </w:tcPr>
          <w:p w14:paraId="1C84FEBE">
            <w:pPr>
              <w:jc w:val="center"/>
            </w:pPr>
            <w:r>
              <w:rPr>
                <w:b/>
                <w:bCs/>
                <w:color w:val="C9A84C"/>
                <w:sz w:val="18"/>
                <w:szCs w:val="18"/>
              </w:rPr>
              <w:t>SS</w:t>
            </w:r>
          </w:p>
        </w:tc>
        <w:tc>
          <w:tcPr>
            <w:tcW w:w="1995"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0E0F3D68">
            <w:r>
              <w:rPr>
                <w:b/>
                <w:bCs/>
                <w:color w:val="1B3A6B"/>
                <w:sz w:val="18"/>
                <w:szCs w:val="18"/>
              </w:rPr>
              <w:t>Sospensione alla sbarra</w:t>
            </w:r>
          </w:p>
        </w:tc>
        <w:tc>
          <w:tcPr>
            <w:tcW w:w="1995"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55BD836A">
            <w:r>
              <w:rPr>
                <w:sz w:val="18"/>
                <w:szCs w:val="18"/>
              </w:rPr>
              <w:t>Forza isometrica</w:t>
            </w:r>
          </w:p>
        </w:tc>
        <w:tc>
          <w:tcPr>
            <w:tcW w:w="4604"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6687B35F">
            <w:r>
              <w:rPr>
                <w:sz w:val="18"/>
                <w:szCs w:val="18"/>
              </w:rPr>
              <w:t>Forza di base — tenuta degli adduttori degli arti superiori</w:t>
            </w:r>
          </w:p>
        </w:tc>
      </w:tr>
      <w:tr w14:paraId="42AC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2" w:type="dxa"/>
            <w:tcBorders>
              <w:top w:val="single" w:color="CCCCCC" w:sz="4" w:space="0"/>
              <w:left w:val="nil"/>
              <w:bottom w:val="single" w:color="CCCCCC" w:sz="4" w:space="0"/>
              <w:right w:val="nil"/>
            </w:tcBorders>
            <w:shd w:val="clear" w:color="auto" w:fill="1B3A6B"/>
            <w:tcMar>
              <w:top w:w="80" w:type="dxa"/>
              <w:left w:w="80" w:type="dxa"/>
              <w:bottom w:w="80" w:type="dxa"/>
              <w:right w:w="80" w:type="dxa"/>
            </w:tcMar>
            <w:vAlign w:val="center"/>
          </w:tcPr>
          <w:p w14:paraId="1BA9C54D">
            <w:pPr>
              <w:jc w:val="center"/>
            </w:pPr>
            <w:r>
              <w:rPr>
                <w:b/>
                <w:bCs/>
                <w:color w:val="C9A84C"/>
                <w:sz w:val="18"/>
                <w:szCs w:val="18"/>
              </w:rPr>
              <w:t>CN1</w:t>
            </w:r>
          </w:p>
        </w:tc>
        <w:tc>
          <w:tcPr>
            <w:tcW w:w="1995"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23479C4C">
            <w:r>
              <w:rPr>
                <w:b/>
                <w:bCs/>
                <w:color w:val="1B3A6B"/>
                <w:sz w:val="18"/>
                <w:szCs w:val="18"/>
              </w:rPr>
              <w:t>Corsa navetta resistenza</w:t>
            </w:r>
          </w:p>
        </w:tc>
        <w:tc>
          <w:tcPr>
            <w:tcW w:w="1995"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2AF0015E">
            <w:r>
              <w:rPr>
                <w:sz w:val="18"/>
                <w:szCs w:val="18"/>
              </w:rPr>
              <w:t>Resistenza aerobica</w:t>
            </w:r>
          </w:p>
        </w:tc>
        <w:tc>
          <w:tcPr>
            <w:tcW w:w="4604"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0B2CE081">
            <w:r>
              <w:rPr>
                <w:sz w:val="18"/>
                <w:szCs w:val="18"/>
              </w:rPr>
              <w:t>Capacità cardiorespiratoria continua e intermittente</w:t>
            </w:r>
          </w:p>
        </w:tc>
      </w:tr>
      <w:tr w14:paraId="14E9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2" w:type="dxa"/>
            <w:tcBorders>
              <w:top w:val="single" w:color="CCCCCC" w:sz="4" w:space="0"/>
              <w:left w:val="nil"/>
              <w:bottom w:val="single" w:color="CCCCCC" w:sz="4" w:space="0"/>
              <w:right w:val="nil"/>
            </w:tcBorders>
            <w:shd w:val="clear" w:color="auto" w:fill="1B3A6B"/>
            <w:tcMar>
              <w:top w:w="80" w:type="dxa"/>
              <w:left w:w="80" w:type="dxa"/>
              <w:bottom w:w="80" w:type="dxa"/>
              <w:right w:w="80" w:type="dxa"/>
            </w:tcMar>
            <w:vAlign w:val="center"/>
          </w:tcPr>
          <w:p w14:paraId="02BA7DF2">
            <w:pPr>
              <w:jc w:val="center"/>
            </w:pPr>
            <w:r>
              <w:rPr>
                <w:b/>
                <w:bCs/>
                <w:color w:val="C9A84C"/>
                <w:sz w:val="18"/>
                <w:szCs w:val="18"/>
              </w:rPr>
              <w:t>CN2</w:t>
            </w:r>
          </w:p>
        </w:tc>
        <w:tc>
          <w:tcPr>
            <w:tcW w:w="1995"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1ED0AA96">
            <w:r>
              <w:rPr>
                <w:b/>
                <w:bCs/>
                <w:color w:val="1B3A6B"/>
                <w:sz w:val="18"/>
                <w:szCs w:val="18"/>
              </w:rPr>
              <w:t>Corsa navetta 10×5m</w:t>
            </w:r>
          </w:p>
        </w:tc>
        <w:tc>
          <w:tcPr>
            <w:tcW w:w="1995"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3916A442">
            <w:r>
              <w:rPr>
                <w:sz w:val="18"/>
                <w:szCs w:val="18"/>
              </w:rPr>
              <w:t>Velocità e coordinazione</w:t>
            </w:r>
          </w:p>
        </w:tc>
        <w:tc>
          <w:tcPr>
            <w:tcW w:w="4604"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49BCE583">
            <w:r>
              <w:rPr>
                <w:sz w:val="18"/>
                <w:szCs w:val="18"/>
              </w:rPr>
              <w:t>Agilità — cambi di direzione</w:t>
            </w:r>
          </w:p>
        </w:tc>
      </w:tr>
      <w:tr w14:paraId="4C489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2" w:type="dxa"/>
            <w:tcBorders>
              <w:top w:val="single" w:color="CCCCCC" w:sz="4" w:space="0"/>
              <w:left w:val="nil"/>
              <w:bottom w:val="single" w:color="CCCCCC" w:sz="4" w:space="0"/>
              <w:right w:val="nil"/>
            </w:tcBorders>
            <w:shd w:val="clear" w:color="auto" w:fill="1B3A6B"/>
            <w:tcMar>
              <w:top w:w="80" w:type="dxa"/>
              <w:left w:w="80" w:type="dxa"/>
              <w:bottom w:w="80" w:type="dxa"/>
              <w:right w:w="80" w:type="dxa"/>
            </w:tcMar>
            <w:vAlign w:val="center"/>
          </w:tcPr>
          <w:p w14:paraId="121D03A5">
            <w:pPr>
              <w:jc w:val="center"/>
            </w:pPr>
            <w:r>
              <w:rPr>
                <w:b/>
                <w:bCs/>
                <w:color w:val="C9A84C"/>
                <w:sz w:val="18"/>
                <w:szCs w:val="18"/>
              </w:rPr>
              <w:t>FLX</w:t>
            </w:r>
          </w:p>
        </w:tc>
        <w:tc>
          <w:tcPr>
            <w:tcW w:w="1995"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1C817F6E">
            <w:r>
              <w:rPr>
                <w:b/>
                <w:bCs/>
                <w:color w:val="1B3A6B"/>
                <w:sz w:val="18"/>
                <w:szCs w:val="18"/>
              </w:rPr>
              <w:t>Flessibilità (sit &amp; reach)</w:t>
            </w:r>
          </w:p>
        </w:tc>
        <w:tc>
          <w:tcPr>
            <w:tcW w:w="1995"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728220DF">
            <w:r>
              <w:rPr>
                <w:sz w:val="18"/>
                <w:szCs w:val="18"/>
              </w:rPr>
              <w:t>Flessibilità catena post.</w:t>
            </w:r>
          </w:p>
        </w:tc>
        <w:tc>
          <w:tcPr>
            <w:tcW w:w="4604"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65838C8C">
            <w:r>
              <w:rPr>
                <w:sz w:val="18"/>
                <w:szCs w:val="18"/>
              </w:rPr>
              <w:t>Prevenzione infortuni — mobilità</w:t>
            </w:r>
          </w:p>
        </w:tc>
      </w:tr>
      <w:tr w14:paraId="3388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12" w:type="dxa"/>
            <w:tcBorders>
              <w:top w:val="single" w:color="CCCCCC" w:sz="4" w:space="0"/>
              <w:left w:val="nil"/>
              <w:bottom w:val="single" w:color="CCCCCC" w:sz="4" w:space="0"/>
              <w:right w:val="nil"/>
            </w:tcBorders>
            <w:shd w:val="clear" w:color="auto" w:fill="1B3A6B"/>
            <w:tcMar>
              <w:top w:w="80" w:type="dxa"/>
              <w:left w:w="80" w:type="dxa"/>
              <w:bottom w:w="80" w:type="dxa"/>
              <w:right w:w="80" w:type="dxa"/>
            </w:tcMar>
            <w:vAlign w:val="center"/>
          </w:tcPr>
          <w:p w14:paraId="151823B1">
            <w:pPr>
              <w:jc w:val="center"/>
            </w:pPr>
            <w:r>
              <w:rPr>
                <w:b/>
                <w:bCs/>
                <w:color w:val="C9A84C"/>
                <w:sz w:val="18"/>
                <w:szCs w:val="18"/>
              </w:rPr>
              <w:t>GV</w:t>
            </w:r>
          </w:p>
        </w:tc>
        <w:tc>
          <w:tcPr>
            <w:tcW w:w="1995"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104E1BA5">
            <w:r>
              <w:rPr>
                <w:b/>
                <w:bCs/>
                <w:color w:val="1B3A6B"/>
                <w:sz w:val="18"/>
                <w:szCs w:val="18"/>
              </w:rPr>
              <w:t>Giro vita</w:t>
            </w:r>
          </w:p>
        </w:tc>
        <w:tc>
          <w:tcPr>
            <w:tcW w:w="1995"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2BE4A0D7">
            <w:r>
              <w:rPr>
                <w:sz w:val="18"/>
                <w:szCs w:val="18"/>
              </w:rPr>
              <w:t>Composizione corporea (grasso viscerale)</w:t>
            </w:r>
          </w:p>
        </w:tc>
        <w:tc>
          <w:tcPr>
            <w:tcW w:w="4604"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3253B18E">
            <w:r>
              <w:rPr>
                <w:sz w:val="18"/>
                <w:szCs w:val="18"/>
              </w:rPr>
              <w:t>Prevenzione dell'inattività fisica, del sovrappeso e dell'obesità</w:t>
            </w:r>
          </w:p>
        </w:tc>
      </w:tr>
    </w:tbl>
    <w:p w14:paraId="03CEB129">
      <w:pPr>
        <w:spacing w:after="80"/>
      </w:pPr>
    </w:p>
    <w:p w14:paraId="3BA24414">
      <w:pPr>
        <w:pBdr>
          <w:left w:val="single" w:color="C9A84C" w:sz="28" w:space="10"/>
        </w:pBdr>
        <w:shd w:val="clear" w:color="auto" w:fill="FEF9ED"/>
        <w:spacing w:before="200" w:after="200"/>
        <w:ind w:left="400" w:right="400"/>
      </w:pPr>
      <w:r>
        <w:rPr>
          <w:color w:val="1B3A6B"/>
        </w:rPr>
        <w:t>Questi rilievi non richiedono attrezzature costose. Sono trasportabili, semplici da applicare e possono essere eseguiti nella palestra scolastica standard in una singola sessione.</w:t>
      </w:r>
    </w:p>
    <w:p w14:paraId="51528888">
      <w:pPr>
        <w:spacing w:after="60"/>
      </w:pPr>
    </w:p>
    <w:p w14:paraId="12571D54">
      <w:pPr>
        <w:pBdr>
          <w:bottom w:val="single" w:color="C9A84C" w:sz="10" w:space="6"/>
        </w:pBdr>
        <w:spacing w:before="480" w:after="100"/>
      </w:pPr>
      <w:r>
        <w:rPr>
          <w:b/>
          <w:bCs/>
          <w:color w:val="1B3A6B"/>
          <w:sz w:val="34"/>
          <w:szCs w:val="34"/>
        </w:rPr>
        <w:t>4. Indicazioni quantitative — finalità metodologico-pedagogica</w:t>
      </w:r>
    </w:p>
    <w:p w14:paraId="34CBF3FB">
      <w:pPr>
        <w:spacing w:before="300" w:after="80"/>
      </w:pPr>
      <w:r>
        <w:rPr>
          <w:b/>
          <w:bCs/>
          <w:color w:val="1B3A6B"/>
          <w:sz w:val="26"/>
          <w:szCs w:val="26"/>
        </w:rPr>
        <w:t>Dinamica del PHV e performance motoria</w:t>
      </w:r>
    </w:p>
    <w:p w14:paraId="4872D4D8">
      <w:pPr>
        <w:spacing w:before="60" w:after="80"/>
        <w:jc w:val="both"/>
      </w:pPr>
      <w:r>
        <w:t>Il picco di crescita staturale (Peak Height Velocity) non è sincronizzato con il picco delle diverse qualità fisiche. Il sistema permette di collegare i dati di crescita staturale con i dati motori rilevazione per rilevazione, quantificando su scala nazionale come e quanto la crescita impatta sulle prestazioni fisiche nelle diverse qualità.</w:t>
      </w:r>
    </w:p>
    <w:p w14:paraId="0A9371A3">
      <w:pPr>
        <w:spacing w:before="300" w:after="80"/>
      </w:pPr>
      <w:r>
        <w:rPr>
          <w:b/>
          <w:bCs/>
          <w:color w:val="1B3A6B"/>
          <w:sz w:val="26"/>
          <w:szCs w:val="26"/>
        </w:rPr>
        <w:t>Effetto età relativa</w:t>
      </w:r>
    </w:p>
    <w:p w14:paraId="24C10C65">
      <w:pPr>
        <w:spacing w:before="60" w:after="80"/>
        <w:jc w:val="both"/>
      </w:pPr>
      <w:r>
        <w:t>Gli studenti nati nel primo semestre dell'anno tendono sistematicamente a performare meglio rispetto ai coetanei del secondo semestre. Il sistema permette di misurare questo effetto su scala nazionale — probabilmente per la prima volta in Italia — con indicazioni per il merito scolastico e l'orientamento sportivo.</w:t>
      </w:r>
    </w:p>
    <w:p w14:paraId="5C8154DB">
      <w:pPr>
        <w:spacing w:before="300" w:after="80"/>
      </w:pPr>
      <w:r>
        <w:rPr>
          <w:b/>
          <w:bCs/>
          <w:color w:val="1B3A6B"/>
          <w:sz w:val="26"/>
          <w:szCs w:val="26"/>
        </w:rPr>
        <w:t>Correlazione BMI e capacità motorie</w:t>
      </w:r>
    </w:p>
    <w:p w14:paraId="1243B57F">
      <w:pPr>
        <w:spacing w:before="60" w:after="80"/>
        <w:jc w:val="both"/>
      </w:pPr>
      <w:r>
        <w:t>L'incrocio tra i dati antropometrici (peso, altezza, BMI, girovita) e i percentili motori permette di quantificare la relazione tra sovrappeso giovanile, deficit motorio specifico e disponibilità all'attività fisica — con identificazione delle soglie critiche di intervento e dei pattern geografici.</w:t>
      </w:r>
    </w:p>
    <w:p w14:paraId="347EBD5F">
      <w:pPr>
        <w:spacing w:before="300" w:after="80"/>
      </w:pPr>
      <w:r>
        <w:rPr>
          <w:b/>
          <w:bCs/>
          <w:color w:val="1B3A6B"/>
          <w:sz w:val="26"/>
          <w:szCs w:val="26"/>
        </w:rPr>
        <w:t>Disparità geografiche Nord–Centro–Sud</w:t>
      </w:r>
    </w:p>
    <w:p w14:paraId="3C4626EE">
      <w:pPr>
        <w:spacing w:before="60" w:after="80"/>
        <w:jc w:val="both"/>
      </w:pPr>
      <w:r>
        <w:t>Con 183 istituti distribuiti su tutto il territorio, il sistema costruisce per la prima volta una mappa dei livelli di efficienza fisica e di motivazione all'attività fisico-sportiva per regione e provincia — permettendo una comparazione con indicatori socioeconomici per identificare le aree di maggiore fragilità.</w:t>
      </w:r>
    </w:p>
    <w:p w14:paraId="301002CC">
      <w:pPr>
        <w:spacing w:before="300" w:after="80"/>
      </w:pPr>
      <w:r>
        <w:rPr>
          <w:b/>
          <w:bCs/>
          <w:color w:val="1B3A6B"/>
          <w:sz w:val="26"/>
          <w:szCs w:val="26"/>
        </w:rPr>
        <w:t>Tracking longitudinale pluriennale</w:t>
      </w:r>
    </w:p>
    <w:p w14:paraId="126B620F">
      <w:pPr>
        <w:spacing w:before="60" w:after="80"/>
        <w:jc w:val="both"/>
      </w:pPr>
      <w:r>
        <w:t>Come indicato nella proposta metodologica, lo sviluppo dovrebbe essere poliennale (2–4 anni). Più lungo sarà il periodo di osservazione, più alto il valore scientifico. Il sistema è progettato per il dato longitudinale: ogni studente ha una traiettoria di sviluppo seguita rilevazione per rilevazione.</w:t>
      </w:r>
    </w:p>
    <w:p w14:paraId="6ABD2B92">
      <w:pPr>
        <w:spacing w:after="80"/>
      </w:pPr>
    </w:p>
    <w:p w14:paraId="5D17A0DB">
      <w:pPr>
        <w:spacing w:before="300" w:after="80"/>
      </w:pPr>
      <w:r>
        <w:rPr>
          <w:b/>
          <w:bCs/>
          <w:color w:val="1B3A6B"/>
          <w:sz w:val="26"/>
          <w:szCs w:val="26"/>
        </w:rPr>
        <w:t>4.1 Pubblicazioni scientifiche previste</w:t>
      </w:r>
    </w:p>
    <w:p w14:paraId="443C96A7">
      <w:pPr>
        <w:pStyle w:val="17"/>
        <w:numPr>
          <w:ilvl w:val="0"/>
          <w:numId w:val="1"/>
        </w:numPr>
        <w:spacing w:before="60" w:after="60"/>
      </w:pPr>
      <w:r>
        <w:t>Analisi della relazione PHV–performance motoria su campione nazionale — dato inedito per l'Italia</w:t>
      </w:r>
    </w:p>
    <w:p w14:paraId="388ACFF4">
      <w:pPr>
        <w:pStyle w:val="17"/>
        <w:numPr>
          <w:ilvl w:val="0"/>
          <w:numId w:val="1"/>
        </w:numPr>
        <w:spacing w:before="60" w:after="60"/>
      </w:pPr>
      <w:r>
        <w:t>Studio sull'effetto dell'uso del feedback nella pratica dell'attività fisica e la relativa efficienza nei soggetti più sedentari</w:t>
      </w:r>
    </w:p>
    <w:p w14:paraId="6C211ED8">
      <w:pPr>
        <w:pStyle w:val="17"/>
        <w:numPr>
          <w:ilvl w:val="0"/>
          <w:numId w:val="1"/>
        </w:numPr>
        <w:spacing w:before="60" w:after="60"/>
      </w:pPr>
      <w:r>
        <w:t>Valutazione dell'efficacia dell'intervento personalizzato basato sui percentili sulla motivazione e sulla pratica motoria</w:t>
      </w:r>
    </w:p>
    <w:p w14:paraId="6F56925D">
      <w:pPr>
        <w:pStyle w:val="17"/>
        <w:numPr>
          <w:ilvl w:val="0"/>
          <w:numId w:val="1"/>
        </w:numPr>
        <w:spacing w:before="60" w:after="60"/>
      </w:pPr>
      <w:r>
        <w:t>Descrizione dell'effetto delle strategie individualizzate nelle diverse aree geografiche</w:t>
      </w:r>
    </w:p>
    <w:p w14:paraId="384D1F26">
      <w:pPr>
        <w:spacing w:after="60"/>
      </w:pPr>
    </w:p>
    <w:p w14:paraId="42400EF5">
      <w:pPr>
        <w:pBdr>
          <w:bottom w:val="single" w:color="C9A84C" w:sz="10" w:space="6"/>
        </w:pBdr>
        <w:spacing w:before="480" w:after="100"/>
      </w:pPr>
      <w:r>
        <w:rPr>
          <w:b/>
          <w:bCs/>
          <w:color w:val="1B3A6B"/>
          <w:sz w:val="34"/>
          <w:szCs w:val="34"/>
        </w:rPr>
        <w:t>5. Il modello organizzativo</w:t>
      </w:r>
    </w:p>
    <w:p w14:paraId="3ECEEB1D">
      <w:pPr>
        <w:spacing w:before="60" w:after="80"/>
        <w:jc w:val="both"/>
      </w:pPr>
      <w:r>
        <w:t>Come indicato nella proposta metodologica allegata, la realizzazione del progetto richiede un sistema organizzativo strutturato a più livelli. Sport su Misura è progettato per supportare esattamente questo modello.</w:t>
      </w:r>
    </w:p>
    <w:p w14:paraId="514C1C93">
      <w:pPr>
        <w:spacing w:after="80"/>
      </w:pPr>
    </w:p>
    <w:p w14:paraId="41852C0E">
      <w:pPr>
        <w:spacing w:before="300" w:after="80"/>
      </w:pPr>
      <w:r>
        <w:rPr>
          <w:b/>
          <w:bCs/>
          <w:color w:val="1B3A6B"/>
          <w:sz w:val="26"/>
          <w:szCs w:val="26"/>
        </w:rPr>
        <w:t>5.1 Struttura del progetto</w:t>
      </w:r>
    </w:p>
    <w:p w14:paraId="0B4FA534">
      <w:pPr>
        <w:spacing w:after="60"/>
      </w:pP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700"/>
        <w:gridCol w:w="6606"/>
      </w:tblGrid>
      <w:tr w14:paraId="24412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00" w:type="dxa"/>
            <w:tcBorders>
              <w:top w:val="nil"/>
              <w:left w:val="nil"/>
              <w:bottom w:val="nil"/>
              <w:right w:val="nil"/>
            </w:tcBorders>
            <w:shd w:val="clear" w:color="auto" w:fill="1B3A6B"/>
            <w:tcMar>
              <w:top w:w="120" w:type="dxa"/>
              <w:left w:w="140" w:type="dxa"/>
              <w:bottom w:w="120" w:type="dxa"/>
              <w:right w:w="140" w:type="dxa"/>
            </w:tcMar>
            <w:vAlign w:val="center"/>
          </w:tcPr>
          <w:p w14:paraId="32B94F32">
            <w:pPr>
              <w:jc w:val="center"/>
            </w:pPr>
            <w:r>
              <w:rPr>
                <w:b/>
                <w:bCs/>
                <w:color w:val="FFFFFF"/>
                <w:sz w:val="18"/>
                <w:szCs w:val="18"/>
              </w:rPr>
              <w:t>Componente</w:t>
            </w:r>
          </w:p>
        </w:tc>
        <w:tc>
          <w:tcPr>
            <w:tcW w:w="6606" w:type="dxa"/>
            <w:tcBorders>
              <w:top w:val="nil"/>
              <w:left w:val="nil"/>
              <w:bottom w:val="nil"/>
              <w:right w:val="nil"/>
            </w:tcBorders>
            <w:shd w:val="clear" w:color="auto" w:fill="1B3A6B"/>
            <w:tcMar>
              <w:top w:w="120" w:type="dxa"/>
              <w:left w:w="140" w:type="dxa"/>
              <w:bottom w:w="120" w:type="dxa"/>
              <w:right w:w="140" w:type="dxa"/>
            </w:tcMar>
            <w:vAlign w:val="center"/>
          </w:tcPr>
          <w:p w14:paraId="1E14C753">
            <w:pPr>
              <w:jc w:val="center"/>
            </w:pPr>
            <w:r>
              <w:rPr>
                <w:b/>
                <w:bCs/>
                <w:color w:val="FFFFFF"/>
                <w:sz w:val="18"/>
                <w:szCs w:val="18"/>
              </w:rPr>
              <w:t>Funzione</w:t>
            </w:r>
          </w:p>
        </w:tc>
      </w:tr>
      <w:tr w14:paraId="30C7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31B750D1">
            <w:r>
              <w:rPr>
                <w:b/>
                <w:bCs/>
                <w:color w:val="1B3A6B"/>
                <w:sz w:val="18"/>
                <w:szCs w:val="18"/>
              </w:rPr>
              <w:t>Gruppo di coordinamento centrale</w:t>
            </w:r>
          </w:p>
        </w:tc>
        <w:tc>
          <w:tcPr>
            <w:tcW w:w="6606"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23B25057">
            <w:r>
              <w:rPr>
                <w:sz w:val="18"/>
                <w:szCs w:val="18"/>
              </w:rPr>
              <w:t>Esperti responsabili della definizione dei protocolli di rilevazione, della formazione dei docenti e dell'elaborazione dei dati scientifici.</w:t>
            </w:r>
          </w:p>
        </w:tc>
      </w:tr>
      <w:tr w14:paraId="7ABE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518DD2D9">
            <w:r>
              <w:rPr>
                <w:b/>
                <w:bCs/>
                <w:color w:val="1B3A6B"/>
                <w:sz w:val="18"/>
                <w:szCs w:val="18"/>
              </w:rPr>
              <w:t>Docente responsabile per istituto</w:t>
            </w:r>
          </w:p>
        </w:tc>
        <w:tc>
          <w:tcPr>
            <w:tcW w:w="6606"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738ADC3D">
            <w:r>
              <w:rPr>
                <w:sz w:val="18"/>
                <w:szCs w:val="18"/>
              </w:rPr>
              <w:t>Ogni istituto partecipante dispone di un referente — l'insegnante di Scienze Motorie registrato al sistema — che coordina le rilevazioni nella propria scuola.</w:t>
            </w:r>
          </w:p>
        </w:tc>
      </w:tr>
      <w:tr w14:paraId="462E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2190AD73">
            <w:r>
              <w:rPr>
                <w:b/>
                <w:bCs/>
                <w:color w:val="1B3A6B"/>
                <w:sz w:val="18"/>
                <w:szCs w:val="18"/>
              </w:rPr>
              <w:t>Protocollo standardizzato</w:t>
            </w:r>
          </w:p>
        </w:tc>
        <w:tc>
          <w:tcPr>
            <w:tcW w:w="6606"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5393C49F">
            <w:r>
              <w:rPr>
                <w:sz w:val="18"/>
                <w:szCs w:val="18"/>
              </w:rPr>
              <w:t>I test Eurofit garantiscono la comparabilità dei dati tra istituti e nel tempo. Il sistema digitale elimina gli errori di trascrizione e calcola automaticamente tutti i valori derivati.</w:t>
            </w:r>
          </w:p>
        </w:tc>
      </w:tr>
      <w:tr w14:paraId="15B5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3D53EDA2">
            <w:r>
              <w:rPr>
                <w:b/>
                <w:bCs/>
                <w:color w:val="1B3A6B"/>
                <w:sz w:val="18"/>
                <w:szCs w:val="18"/>
              </w:rPr>
              <w:t>Banca dati nazionale</w:t>
            </w:r>
          </w:p>
        </w:tc>
        <w:tc>
          <w:tcPr>
            <w:tcW w:w="6606"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5BBFB426">
            <w:r>
              <w:rPr>
                <w:sz w:val="18"/>
                <w:szCs w:val="18"/>
              </w:rPr>
              <w:t>Il software costituisce la banca dati centrale dell'intero sistema — progettato per gestire un numero elevato di soggetti con aggiornamento in tempo reale.</w:t>
            </w:r>
          </w:p>
        </w:tc>
      </w:tr>
      <w:tr w14:paraId="3A9E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1A0F815E">
            <w:r>
              <w:rPr>
                <w:b/>
                <w:bCs/>
                <w:color w:val="1B3A6B"/>
                <w:sz w:val="18"/>
                <w:szCs w:val="18"/>
              </w:rPr>
              <w:t>Indagine psicosociale (modulo futuro)</w:t>
            </w:r>
          </w:p>
        </w:tc>
        <w:tc>
          <w:tcPr>
            <w:tcW w:w="6606"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096C728B">
            <w:r>
              <w:rPr>
                <w:sz w:val="18"/>
                <w:szCs w:val="18"/>
              </w:rPr>
              <w:t>Ramo dedicato all'analisi delle motivazioni positive e negative rispetto all'attività fisica — da progettare ad hoc come modulo aggiuntivo della piattaforma.</w:t>
            </w:r>
          </w:p>
        </w:tc>
      </w:tr>
    </w:tbl>
    <w:p w14:paraId="0E69A5BE">
      <w:pPr>
        <w:spacing w:after="80"/>
      </w:pPr>
    </w:p>
    <w:p w14:paraId="77B741C6">
      <w:pPr>
        <w:spacing w:before="300" w:after="80"/>
      </w:pPr>
      <w:r>
        <w:rPr>
          <w:b/>
          <w:bCs/>
          <w:color w:val="1B3A6B"/>
          <w:sz w:val="26"/>
          <w:szCs w:val="26"/>
        </w:rPr>
        <w:t>5.2 Calendario delle rilevazioni</w:t>
      </w:r>
    </w:p>
    <w:p w14:paraId="3F3C6FC2">
      <w:pPr>
        <w:spacing w:after="60"/>
      </w:pP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700"/>
        <w:gridCol w:w="6606"/>
      </w:tblGrid>
      <w:tr w14:paraId="2C94E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00" w:type="dxa"/>
            <w:tcBorders>
              <w:top w:val="nil"/>
              <w:left w:val="nil"/>
              <w:bottom w:val="nil"/>
              <w:right w:val="nil"/>
            </w:tcBorders>
            <w:shd w:val="clear" w:color="auto" w:fill="1B3A6B"/>
            <w:tcMar>
              <w:top w:w="120" w:type="dxa"/>
              <w:left w:w="140" w:type="dxa"/>
              <w:bottom w:w="120" w:type="dxa"/>
              <w:right w:w="140" w:type="dxa"/>
            </w:tcMar>
            <w:vAlign w:val="center"/>
          </w:tcPr>
          <w:p w14:paraId="0402DD32">
            <w:pPr>
              <w:jc w:val="center"/>
            </w:pPr>
            <w:r>
              <w:rPr>
                <w:b/>
                <w:bCs/>
                <w:color w:val="FFFFFF"/>
                <w:sz w:val="18"/>
                <w:szCs w:val="18"/>
              </w:rPr>
              <w:t>Sessione</w:t>
            </w:r>
          </w:p>
        </w:tc>
        <w:tc>
          <w:tcPr>
            <w:tcW w:w="6606" w:type="dxa"/>
            <w:tcBorders>
              <w:top w:val="nil"/>
              <w:left w:val="nil"/>
              <w:bottom w:val="nil"/>
              <w:right w:val="nil"/>
            </w:tcBorders>
            <w:shd w:val="clear" w:color="auto" w:fill="1B3A6B"/>
            <w:tcMar>
              <w:top w:w="120" w:type="dxa"/>
              <w:left w:w="140" w:type="dxa"/>
              <w:bottom w:w="120" w:type="dxa"/>
              <w:right w:w="140" w:type="dxa"/>
            </w:tcMar>
            <w:vAlign w:val="center"/>
          </w:tcPr>
          <w:p w14:paraId="463881C7">
            <w:pPr>
              <w:jc w:val="center"/>
            </w:pPr>
            <w:r>
              <w:rPr>
                <w:b/>
                <w:bCs/>
                <w:color w:val="FFFFFF"/>
                <w:sz w:val="18"/>
                <w:szCs w:val="18"/>
              </w:rPr>
              <w:t>Descrizione</w:t>
            </w:r>
          </w:p>
        </w:tc>
      </w:tr>
      <w:tr w14:paraId="7AB24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2660E38B">
            <w:r>
              <w:rPr>
                <w:b/>
                <w:bCs/>
                <w:color w:val="1B3A6B"/>
                <w:sz w:val="18"/>
                <w:szCs w:val="18"/>
              </w:rPr>
              <w:t>1ª rilevazione — Ottobre</w:t>
            </w:r>
          </w:p>
        </w:tc>
        <w:tc>
          <w:tcPr>
            <w:tcW w:w="6606"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4B3C50FC">
            <w:r>
              <w:rPr>
                <w:sz w:val="18"/>
                <w:szCs w:val="18"/>
              </w:rPr>
              <w:t>Baseline di inizio anno: misura la condizione di partenza di ogni studente.</w:t>
            </w:r>
          </w:p>
        </w:tc>
      </w:tr>
      <w:tr w14:paraId="3F01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50C846C6">
            <w:r>
              <w:rPr>
                <w:b/>
                <w:bCs/>
                <w:color w:val="1B3A6B"/>
                <w:sz w:val="18"/>
                <w:szCs w:val="18"/>
              </w:rPr>
              <w:t>2ª rilevazione — Febbraio</w:t>
            </w:r>
          </w:p>
        </w:tc>
        <w:tc>
          <w:tcPr>
            <w:tcW w:w="6606"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377EDD52">
            <w:r>
              <w:rPr>
                <w:sz w:val="18"/>
                <w:szCs w:val="18"/>
              </w:rPr>
              <w:t>Verifica intermedia: il delta rispetto a Ottobre misura la progressione del primo semestre.</w:t>
            </w:r>
          </w:p>
        </w:tc>
      </w:tr>
      <w:tr w14:paraId="708C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390A540E">
            <w:r>
              <w:rPr>
                <w:b/>
                <w:bCs/>
                <w:color w:val="1B3A6B"/>
                <w:sz w:val="18"/>
                <w:szCs w:val="18"/>
              </w:rPr>
              <w:t>3ª rilevazione — Maggio</w:t>
            </w:r>
          </w:p>
        </w:tc>
        <w:tc>
          <w:tcPr>
            <w:tcW w:w="6606"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6D1DC174">
            <w:r>
              <w:rPr>
                <w:sz w:val="18"/>
                <w:szCs w:val="18"/>
              </w:rPr>
              <w:t>Valutazione finale: il delta rispetto a Ottobre misura la progressione annuale complessiva.</w:t>
            </w:r>
          </w:p>
        </w:tc>
      </w:tr>
      <w:tr w14:paraId="34662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7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2B149964">
            <w:r>
              <w:rPr>
                <w:b/>
                <w:bCs/>
                <w:color w:val="1B3A6B"/>
                <w:sz w:val="18"/>
                <w:szCs w:val="18"/>
              </w:rPr>
              <w:t>Durata consigliata</w:t>
            </w:r>
          </w:p>
        </w:tc>
        <w:tc>
          <w:tcPr>
            <w:tcW w:w="6606"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33FF69EE">
            <w:r>
              <w:rPr>
                <w:sz w:val="18"/>
                <w:szCs w:val="18"/>
              </w:rPr>
              <w:t>2–4 anni consecutivi. Più lungo il periodo, maggiore il valore scientifico del dato longitudinale.</w:t>
            </w:r>
          </w:p>
        </w:tc>
      </w:tr>
    </w:tbl>
    <w:p w14:paraId="47B3800A">
      <w:pPr>
        <w:spacing w:after="80"/>
      </w:pPr>
    </w:p>
    <w:p w14:paraId="58262D35">
      <w:pPr>
        <w:spacing w:before="300" w:after="80"/>
      </w:pPr>
      <w:r>
        <w:rPr>
          <w:b/>
          <w:bCs/>
          <w:color w:val="1B3A6B"/>
          <w:sz w:val="26"/>
          <w:szCs w:val="26"/>
        </w:rPr>
        <w:t>5.3 Formazione dei docenti rilevatori</w:t>
      </w:r>
    </w:p>
    <w:p w14:paraId="3A9F00A8">
      <w:pPr>
        <w:spacing w:before="60" w:after="80"/>
        <w:jc w:val="both"/>
      </w:pPr>
      <w:r>
        <w:t>Il sistema include un modulo di formazione per i docenti partecipanti sui protocolli di rilevazione dei test Eurofit. La standardizzazione della procedura di misura è condizione essenziale per la validità scientifica dei dati raccolti.</w:t>
      </w:r>
    </w:p>
    <w:p w14:paraId="0AF4C806">
      <w:pPr>
        <w:spacing w:after="60"/>
      </w:pPr>
    </w:p>
    <w:p w14:paraId="15AF8D52">
      <w:pPr>
        <w:pBdr>
          <w:bottom w:val="single" w:color="C9A84C" w:sz="10" w:space="6"/>
        </w:pBdr>
        <w:spacing w:before="480" w:after="100"/>
      </w:pPr>
      <w:r>
        <w:rPr>
          <w:b/>
          <w:bCs/>
          <w:color w:val="1B3A6B"/>
          <w:sz w:val="34"/>
          <w:szCs w:val="34"/>
        </w:rPr>
        <w:t>6. La piattaforma digitale</w:t>
      </w:r>
    </w:p>
    <w:p w14:paraId="755891F6">
      <w:pPr>
        <w:spacing w:before="60" w:after="80"/>
        <w:jc w:val="both"/>
      </w:pPr>
      <w:r>
        <w:t>Come indicato nella proposta metodologica, è necessario un software che costituisca la banca dati di tutto il sistema, progettato per gestire un numero elevato di soggetti partecipanti. Sport su Misura risponde esattamente a questa esigenza.</w:t>
      </w:r>
    </w:p>
    <w:p w14:paraId="3767B887">
      <w:pPr>
        <w:spacing w:after="80"/>
      </w:pPr>
    </w:p>
    <w:p w14:paraId="30E7045D">
      <w:pPr>
        <w:spacing w:before="300" w:after="80"/>
      </w:pPr>
      <w:r>
        <w:rPr>
          <w:b/>
          <w:bCs/>
          <w:color w:val="1B3A6B"/>
          <w:sz w:val="26"/>
          <w:szCs w:val="26"/>
        </w:rPr>
        <w:t>6.1 Funzionalità per l'insegnante</w:t>
      </w:r>
    </w:p>
    <w:p w14:paraId="4574F128">
      <w:pPr>
        <w:pStyle w:val="17"/>
        <w:numPr>
          <w:ilvl w:val="0"/>
          <w:numId w:val="1"/>
        </w:numPr>
        <w:spacing w:before="60" w:after="60"/>
      </w:pPr>
      <w:r>
        <w:t>Registrazione studenti con codice identificativo anonimo — tutela della privacy GDPR</w:t>
      </w:r>
    </w:p>
    <w:p w14:paraId="0A584C77">
      <w:pPr>
        <w:pStyle w:val="17"/>
        <w:numPr>
          <w:ilvl w:val="0"/>
          <w:numId w:val="1"/>
        </w:numPr>
        <w:spacing w:before="60" w:after="60"/>
      </w:pPr>
      <w:r>
        <w:t>Inserimento dati antropometrici: altezza, peso, BMI (calcolato automaticamente), girovita</w:t>
      </w:r>
    </w:p>
    <w:p w14:paraId="36FFFDDD">
      <w:pPr>
        <w:pStyle w:val="17"/>
        <w:numPr>
          <w:ilvl w:val="0"/>
          <w:numId w:val="1"/>
        </w:numPr>
        <w:spacing w:before="60" w:after="60"/>
      </w:pPr>
      <w:r>
        <w:t>Inserimento risultati dei test Eurofit in 3 sessioni annuali</w:t>
      </w:r>
    </w:p>
    <w:p w14:paraId="26FD75E8">
      <w:pPr>
        <w:pStyle w:val="17"/>
        <w:numPr>
          <w:ilvl w:val="0"/>
          <w:numId w:val="1"/>
        </w:numPr>
        <w:spacing w:before="60" w:after="60"/>
      </w:pPr>
      <w:r>
        <w:t>Calcolo automatico del percentile per sesso, età e semestre di nascita</w:t>
      </w:r>
    </w:p>
    <w:p w14:paraId="246542AB">
      <w:pPr>
        <w:pStyle w:val="17"/>
        <w:numPr>
          <w:ilvl w:val="0"/>
          <w:numId w:val="1"/>
        </w:numPr>
        <w:spacing w:before="60" w:after="60"/>
      </w:pPr>
      <w:r>
        <w:t>Calcolo del delta tra rilevazioni — progressione individuale visibile a colpo d'occhio</w:t>
      </w:r>
    </w:p>
    <w:p w14:paraId="7E9F609C">
      <w:pPr>
        <w:pStyle w:val="17"/>
        <w:numPr>
          <w:ilvl w:val="0"/>
          <w:numId w:val="1"/>
        </w:numPr>
        <w:spacing w:before="60" w:after="60"/>
      </w:pPr>
      <w:r>
        <w:t>Giudizio sintetico automatico per ogni studente</w:t>
      </w:r>
    </w:p>
    <w:p w14:paraId="33C375A4">
      <w:pPr>
        <w:pStyle w:val="17"/>
        <w:numPr>
          <w:ilvl w:val="0"/>
          <w:numId w:val="1"/>
        </w:numPr>
        <w:spacing w:before="60" w:after="60"/>
      </w:pPr>
      <w:r>
        <w:t>Scheda individuale stampabile in PDF — condivisibile con studenti e famiglie</w:t>
      </w:r>
    </w:p>
    <w:p w14:paraId="1DD6788C">
      <w:pPr>
        <w:pStyle w:val="17"/>
        <w:numPr>
          <w:ilvl w:val="0"/>
          <w:numId w:val="1"/>
        </w:numPr>
        <w:spacing w:before="60" w:after="60"/>
      </w:pPr>
      <w:r>
        <w:t>Riepilogo classe con sigle test, legenda e tooltip per il nome completo del test</w:t>
      </w:r>
    </w:p>
    <w:p w14:paraId="15E6D66C">
      <w:pPr>
        <w:pStyle w:val="17"/>
        <w:numPr>
          <w:ilvl w:val="0"/>
          <w:numId w:val="1"/>
        </w:numPr>
        <w:spacing w:before="60" w:after="60"/>
      </w:pPr>
      <w:r>
        <w:t>Esportazione dati in Excel compatibile con Excel italiano</w:t>
      </w:r>
    </w:p>
    <w:p w14:paraId="62524C10">
      <w:pPr>
        <w:spacing w:after="60"/>
      </w:pPr>
    </w:p>
    <w:p w14:paraId="0DAFB1C7">
      <w:pPr>
        <w:spacing w:before="300" w:after="80"/>
      </w:pPr>
      <w:r>
        <w:rPr>
          <w:b/>
          <w:bCs/>
          <w:color w:val="1B3A6B"/>
          <w:sz w:val="26"/>
          <w:szCs w:val="26"/>
        </w:rPr>
        <w:t>6.2 Funzionalità per il coordinamento scientifico</w:t>
      </w:r>
    </w:p>
    <w:p w14:paraId="691DB424">
      <w:pPr>
        <w:pStyle w:val="17"/>
        <w:numPr>
          <w:ilvl w:val="0"/>
          <w:numId w:val="1"/>
        </w:numPr>
        <w:spacing w:before="60" w:after="60"/>
      </w:pPr>
      <w:r>
        <w:t>Dashboard nazionale con statistiche aggregate in tempo reale</w:t>
      </w:r>
    </w:p>
    <w:p w14:paraId="7771E8B4">
      <w:pPr>
        <w:pStyle w:val="17"/>
        <w:numPr>
          <w:ilvl w:val="0"/>
          <w:numId w:val="1"/>
        </w:numPr>
        <w:spacing w:before="60" w:after="60"/>
      </w:pPr>
      <w:r>
        <w:t>6 analisi statistiche interattive: distribuzione percentili, confronto M/F, progressione annuale, effetto età relativa, correlazione delta BMI/prestazioni, statistica descrittiva giro vita</w:t>
      </w:r>
    </w:p>
    <w:p w14:paraId="1B0EB56E">
      <w:pPr>
        <w:pStyle w:val="17"/>
        <w:numPr>
          <w:ilvl w:val="0"/>
          <w:numId w:val="1"/>
        </w:numPr>
        <w:spacing w:before="60" w:after="60"/>
      </w:pPr>
      <w:r>
        <w:t>Esportazione dati anonimi in CSV per analisi scientifica — compatibile SPSS/R</w:t>
      </w:r>
    </w:p>
    <w:p w14:paraId="43D83B2F">
      <w:pPr>
        <w:pStyle w:val="17"/>
        <w:numPr>
          <w:ilvl w:val="0"/>
          <w:numId w:val="1"/>
        </w:numPr>
        <w:spacing w:before="60" w:after="60"/>
      </w:pPr>
      <w:r>
        <w:t>I dati sono sempre anonimi: i coordinatori non vedono mai i nomi reali degli studenti</w:t>
      </w:r>
    </w:p>
    <w:p w14:paraId="722D86B7">
      <w:pPr>
        <w:spacing w:after="80"/>
      </w:pPr>
    </w:p>
    <w:p w14:paraId="6A559BD1">
      <w:pPr>
        <w:spacing w:before="300" w:after="80"/>
      </w:pPr>
      <w:r>
        <w:rPr>
          <w:b/>
          <w:bCs/>
          <w:color w:val="1B3A6B"/>
          <w:sz w:val="26"/>
          <w:szCs w:val="26"/>
        </w:rPr>
        <w:t>6.3 Caratteristiche tecniche</w:t>
      </w:r>
    </w:p>
    <w:p w14:paraId="52E3E605">
      <w:pPr>
        <w:spacing w:after="60"/>
      </w:pP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06"/>
      </w:tblGrid>
      <w:tr w14:paraId="7022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nil"/>
              <w:left w:val="nil"/>
              <w:bottom w:val="nil"/>
              <w:right w:val="nil"/>
            </w:tcBorders>
            <w:shd w:val="clear" w:color="auto" w:fill="1B3A6B"/>
            <w:tcMar>
              <w:top w:w="120" w:type="dxa"/>
              <w:left w:w="140" w:type="dxa"/>
              <w:bottom w:w="120" w:type="dxa"/>
              <w:right w:w="140" w:type="dxa"/>
            </w:tcMar>
            <w:vAlign w:val="center"/>
          </w:tcPr>
          <w:p w14:paraId="1B9B3841">
            <w:pPr>
              <w:jc w:val="center"/>
            </w:pPr>
            <w:r>
              <w:rPr>
                <w:b/>
                <w:bCs/>
                <w:color w:val="FFFFFF"/>
                <w:sz w:val="18"/>
                <w:szCs w:val="18"/>
              </w:rPr>
              <w:t>Caratteristica</w:t>
            </w:r>
          </w:p>
        </w:tc>
        <w:tc>
          <w:tcPr>
            <w:tcW w:w="6706" w:type="dxa"/>
            <w:tcBorders>
              <w:top w:val="nil"/>
              <w:left w:val="nil"/>
              <w:bottom w:val="nil"/>
              <w:right w:val="nil"/>
            </w:tcBorders>
            <w:shd w:val="clear" w:color="auto" w:fill="1B3A6B"/>
            <w:tcMar>
              <w:top w:w="120" w:type="dxa"/>
              <w:left w:w="140" w:type="dxa"/>
              <w:bottom w:w="120" w:type="dxa"/>
              <w:right w:w="140" w:type="dxa"/>
            </w:tcMar>
            <w:vAlign w:val="center"/>
          </w:tcPr>
          <w:p w14:paraId="549EC585">
            <w:pPr>
              <w:jc w:val="center"/>
            </w:pPr>
            <w:r>
              <w:rPr>
                <w:b/>
                <w:bCs/>
                <w:color w:val="FFFFFF"/>
                <w:sz w:val="18"/>
                <w:szCs w:val="18"/>
              </w:rPr>
              <w:t>Dettaglio</w:t>
            </w:r>
          </w:p>
        </w:tc>
      </w:tr>
      <w:tr w14:paraId="6B90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1907F129">
            <w:r>
              <w:rPr>
                <w:b/>
                <w:bCs/>
                <w:color w:val="1B3A6B"/>
                <w:sz w:val="18"/>
                <w:szCs w:val="18"/>
              </w:rPr>
              <w:t>Accessibilità</w:t>
            </w:r>
          </w:p>
        </w:tc>
        <w:tc>
          <w:tcPr>
            <w:tcW w:w="6706"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16190765">
            <w:r>
              <w:rPr>
                <w:sz w:val="18"/>
                <w:szCs w:val="18"/>
              </w:rPr>
              <w:t>Web — PC, laptop, iPad. Nessuna installazione richiesta.</w:t>
            </w:r>
          </w:p>
        </w:tc>
      </w:tr>
      <w:tr w14:paraId="2B4EA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599FA07C">
            <w:r>
              <w:rPr>
                <w:b/>
                <w:bCs/>
                <w:color w:val="1B3A6B"/>
                <w:sz w:val="18"/>
                <w:szCs w:val="18"/>
              </w:rPr>
              <w:t>Hosting</w:t>
            </w:r>
          </w:p>
        </w:tc>
        <w:tc>
          <w:tcPr>
            <w:tcW w:w="6706"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26D2B5D4">
            <w:r>
              <w:rPr>
                <w:sz w:val="18"/>
                <w:szCs w:val="18"/>
              </w:rPr>
              <w:t>Server italiano (Aruba) — datacenter in Italia, conformità GDPR garantita.</w:t>
            </w:r>
          </w:p>
        </w:tc>
      </w:tr>
      <w:tr w14:paraId="7509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37E708C0">
            <w:r>
              <w:rPr>
                <w:b/>
                <w:bCs/>
                <w:color w:val="1B3A6B"/>
                <w:sz w:val="18"/>
                <w:szCs w:val="18"/>
              </w:rPr>
              <w:t>Privacy</w:t>
            </w:r>
          </w:p>
        </w:tc>
        <w:tc>
          <w:tcPr>
            <w:tcW w:w="6706"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7EEFB645">
            <w:r>
              <w:rPr>
                <w:sz w:val="18"/>
                <w:szCs w:val="18"/>
              </w:rPr>
              <w:t>Codice ID anonimo per ogni studente — i coordinatori non accedono mai ai nomi reali.</w:t>
            </w:r>
          </w:p>
        </w:tc>
      </w:tr>
      <w:tr w14:paraId="0C25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26381935">
            <w:r>
              <w:rPr>
                <w:b/>
                <w:bCs/>
                <w:color w:val="1B3A6B"/>
                <w:sz w:val="18"/>
                <w:szCs w:val="18"/>
              </w:rPr>
              <w:t>Sicurezza</w:t>
            </w:r>
          </w:p>
        </w:tc>
        <w:tc>
          <w:tcPr>
            <w:tcW w:w="6706"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49569F5D">
            <w:r>
              <w:rPr>
                <w:sz w:val="18"/>
                <w:szCs w:val="18"/>
              </w:rPr>
              <w:t>HTTPS + autenticazione con password — due livelli di accesso separati.</w:t>
            </w:r>
          </w:p>
        </w:tc>
      </w:tr>
      <w:tr w14:paraId="2045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199F2F48">
            <w:r>
              <w:rPr>
                <w:b/>
                <w:bCs/>
                <w:color w:val="1B3A6B"/>
                <w:sz w:val="18"/>
                <w:szCs w:val="18"/>
              </w:rPr>
              <w:t>Backup</w:t>
            </w:r>
          </w:p>
        </w:tc>
        <w:tc>
          <w:tcPr>
            <w:tcW w:w="6706" w:type="dxa"/>
            <w:tcBorders>
              <w:top w:val="single" w:color="CCCCCC" w:sz="4" w:space="0"/>
              <w:left w:val="single" w:color="CCCCCC" w:sz="4" w:space="0"/>
              <w:bottom w:val="single" w:color="CCCCCC" w:sz="4" w:space="0"/>
              <w:right w:val="single" w:color="CCCCCC" w:sz="4" w:space="0"/>
            </w:tcBorders>
            <w:shd w:val="clear" w:color="auto" w:fill="FFFFFF"/>
            <w:tcMar>
              <w:top w:w="80" w:type="dxa"/>
              <w:left w:w="120" w:type="dxa"/>
              <w:bottom w:w="80" w:type="dxa"/>
              <w:right w:w="120" w:type="dxa"/>
            </w:tcMar>
          </w:tcPr>
          <w:p w14:paraId="0EB39BFB">
            <w:r>
              <w:rPr>
                <w:sz w:val="18"/>
                <w:szCs w:val="18"/>
              </w:rPr>
              <w:t>Automatico giornaliero — retention 30 giorni.</w:t>
            </w:r>
          </w:p>
        </w:tc>
      </w:tr>
      <w:tr w14:paraId="2F0C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2D058B06">
            <w:r>
              <w:rPr>
                <w:b/>
                <w:bCs/>
                <w:color w:val="1B3A6B"/>
                <w:sz w:val="18"/>
                <w:szCs w:val="18"/>
              </w:rPr>
              <w:t>Scalabilità</w:t>
            </w:r>
          </w:p>
        </w:tc>
        <w:tc>
          <w:tcPr>
            <w:tcW w:w="6706" w:type="dxa"/>
            <w:tcBorders>
              <w:top w:val="single" w:color="CCCCCC" w:sz="4" w:space="0"/>
              <w:left w:val="single" w:color="CCCCCC" w:sz="4" w:space="0"/>
              <w:bottom w:val="single" w:color="CCCCCC" w:sz="4" w:space="0"/>
              <w:right w:val="single" w:color="CCCCCC" w:sz="4" w:space="0"/>
            </w:tcBorders>
            <w:shd w:val="clear" w:color="auto" w:fill="EDF1F8"/>
            <w:tcMar>
              <w:top w:w="80" w:type="dxa"/>
              <w:left w:w="120" w:type="dxa"/>
              <w:bottom w:w="80" w:type="dxa"/>
              <w:right w:w="120" w:type="dxa"/>
            </w:tcMar>
          </w:tcPr>
          <w:p w14:paraId="7483FED8">
            <w:r>
              <w:rPr>
                <w:sz w:val="18"/>
                <w:szCs w:val="18"/>
              </w:rPr>
              <w:t>Progettato per 33.000 studenti e 990.000 misurazioni annue.</w:t>
            </w:r>
          </w:p>
        </w:tc>
      </w:tr>
    </w:tbl>
    <w:p w14:paraId="679B4D7D">
      <w:pPr>
        <w:spacing w:after="60"/>
      </w:pPr>
    </w:p>
    <w:p w14:paraId="248D6663">
      <w:pPr>
        <w:pBdr>
          <w:bottom w:val="single" w:color="C9A84C" w:sz="10" w:space="6"/>
        </w:pBdr>
        <w:spacing w:before="480" w:after="100"/>
      </w:pPr>
      <w:r>
        <w:rPr>
          <w:b/>
          <w:bCs/>
          <w:color w:val="1B3A6B"/>
          <w:sz w:val="34"/>
          <w:szCs w:val="34"/>
        </w:rPr>
        <w:t>7. Roadmap e sviluppi futuri</w:t>
      </w:r>
    </w:p>
    <w:p w14:paraId="6F3DD7A6">
      <w:pPr>
        <w:spacing w:after="80"/>
      </w:pP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102"/>
        <w:gridCol w:w="3102"/>
        <w:gridCol w:w="3102"/>
      </w:tblGrid>
      <w:tr w14:paraId="27B3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102" w:type="dxa"/>
            <w:tcBorders>
              <w:top w:val="single" w:color="C9A84C" w:sz="12" w:space="0"/>
              <w:left w:val="single" w:color="C9A84C" w:sz="12" w:space="0"/>
              <w:bottom w:val="single" w:color="C9A84C" w:sz="12" w:space="0"/>
              <w:right w:val="single" w:color="C9A84C" w:sz="4" w:space="0"/>
            </w:tcBorders>
            <w:shd w:val="clear" w:color="auto" w:fill="EDF1F8"/>
            <w:tcMar>
              <w:top w:w="200" w:type="dxa"/>
              <w:left w:w="180" w:type="dxa"/>
              <w:bottom w:w="200" w:type="dxa"/>
              <w:right w:w="180" w:type="dxa"/>
            </w:tcMar>
          </w:tcPr>
          <w:p w14:paraId="39592105">
            <w:pPr>
              <w:spacing w:after="120"/>
              <w:jc w:val="center"/>
            </w:pPr>
            <w:r>
              <w:rPr>
                <w:b/>
                <w:bCs/>
                <w:color w:val="1B3A6B"/>
              </w:rPr>
              <w:t>DEMO — Release 1.0</w:t>
            </w:r>
          </w:p>
          <w:p w14:paraId="3660C772">
            <w:pPr>
              <w:jc w:val="center"/>
            </w:pPr>
            <w:r>
              <w:rPr>
                <w:sz w:val="18"/>
                <w:szCs w:val="18"/>
              </w:rPr>
              <w:t>Piattaforma funzionante con tutte le funzionalità descritte. Dati simulati realistici. Sessione dimostrativa disponibile in qualsiasi momento.</w:t>
            </w:r>
          </w:p>
        </w:tc>
        <w:tc>
          <w:tcPr>
            <w:tcW w:w="3102" w:type="dxa"/>
            <w:tcBorders>
              <w:top w:val="single" w:color="C9A84C" w:sz="12" w:space="0"/>
              <w:left w:val="single" w:color="C9A84C" w:sz="4" w:space="0"/>
              <w:bottom w:val="single" w:color="C9A84C" w:sz="12" w:space="0"/>
              <w:right w:val="single" w:color="C9A84C" w:sz="4" w:space="0"/>
            </w:tcBorders>
            <w:shd w:val="clear" w:color="auto" w:fill="FEF9ED"/>
            <w:tcMar>
              <w:top w:w="200" w:type="dxa"/>
              <w:left w:w="180" w:type="dxa"/>
              <w:bottom w:w="200" w:type="dxa"/>
              <w:right w:w="180" w:type="dxa"/>
            </w:tcMar>
          </w:tcPr>
          <w:p w14:paraId="34AF17A6">
            <w:pPr>
              <w:spacing w:after="120"/>
              <w:jc w:val="center"/>
            </w:pPr>
            <w:r>
              <w:rPr>
                <w:b/>
                <w:bCs/>
                <w:color w:val="1B3A6B"/>
              </w:rPr>
              <w:t>Q3 2026 — Release 2.0</w:t>
            </w:r>
          </w:p>
          <w:p w14:paraId="7B48D28A">
            <w:pPr>
              <w:jc w:val="center"/>
            </w:pPr>
            <w:r>
              <w:rPr>
                <w:sz w:val="18"/>
                <w:szCs w:val="18"/>
              </w:rPr>
              <w:t>Produzione nazionale: avvio con gli istituti pilota. Raccolta dati su scala nazionale. Dashboard scientifica attiva.</w:t>
            </w:r>
          </w:p>
        </w:tc>
        <w:tc>
          <w:tcPr>
            <w:tcW w:w="3102" w:type="dxa"/>
            <w:tcBorders>
              <w:top w:val="single" w:color="C9A84C" w:sz="12" w:space="0"/>
              <w:left w:val="single" w:color="C9A84C" w:sz="4" w:space="0"/>
              <w:bottom w:val="single" w:color="C9A84C" w:sz="12" w:space="0"/>
              <w:right w:val="single" w:color="C9A84C" w:sz="12" w:space="0"/>
            </w:tcBorders>
            <w:shd w:val="clear" w:color="auto" w:fill="EDF1F8"/>
            <w:tcMar>
              <w:top w:w="200" w:type="dxa"/>
              <w:left w:w="180" w:type="dxa"/>
              <w:bottom w:w="200" w:type="dxa"/>
              <w:right w:w="180" w:type="dxa"/>
            </w:tcMar>
          </w:tcPr>
          <w:p w14:paraId="465783A5">
            <w:pPr>
              <w:spacing w:after="120"/>
              <w:jc w:val="center"/>
            </w:pPr>
            <w:r>
              <w:rPr>
                <w:b/>
                <w:bCs/>
                <w:color w:val="1B3A6B"/>
              </w:rPr>
              <w:t>2027 — Release 3.0</w:t>
            </w:r>
          </w:p>
          <w:p w14:paraId="4A00089C">
            <w:pPr>
              <w:jc w:val="center"/>
            </w:pPr>
            <w:r>
              <w:rPr>
                <w:sz w:val="18"/>
                <w:szCs w:val="18"/>
              </w:rPr>
              <w:t>Ecosistema completo: ampliamento ad altri istituti, integrazione modulo psicosociale, pubblicazioni scientifiche.</w:t>
            </w:r>
          </w:p>
        </w:tc>
      </w:tr>
    </w:tbl>
    <w:p w14:paraId="4747C69A">
      <w:pPr>
        <w:spacing w:after="60"/>
      </w:pPr>
    </w:p>
    <w:sectPr>
      <w:headerReference r:id="rId3" w:type="default"/>
      <w:footerReference r:id="rId4" w:type="default"/>
      <w:pgSz w:w="11906" w:h="16838"/>
      <w:pgMar w:top="1300" w:right="1300" w:bottom="1300" w:left="13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86"/>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F0ECD">
    <w:pPr>
      <w:pBdr>
        <w:top w:val="single" w:color="C9A84C" w:sz="6" w:space="4"/>
      </w:pBdr>
      <w:tabs>
        <w:tab w:val="right" w:pos="9306"/>
      </w:tabs>
      <w:spacing w:before="60"/>
    </w:pPr>
    <w:r>
      <w:rPr>
        <w:color w:val="6B7280"/>
        <w:sz w:val="16"/>
        <w:szCs w:val="16"/>
      </w:rPr>
      <w:t>Proposta di Progetto — AONI-APEC-MDS   |   Marzo 2026</w:t>
    </w:r>
    <w:r>
      <w:rPr>
        <w:sz w:val="16"/>
        <w:szCs w:val="16"/>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A09F4">
    <w:pPr>
      <w:pBdr>
        <w:bottom w:val="single" w:color="C9A84C" w:sz="6" w:space="4"/>
      </w:pBdr>
      <w:spacing w:after="60"/>
    </w:pPr>
    <w:r>
      <w:rPr>
        <w:b/>
        <w:bCs/>
        <w:color w:val="1B3A6B"/>
        <w:sz w:val="18"/>
        <w:szCs w:val="18"/>
      </w:rPr>
      <w:t>SPORT SU MISURA</w:t>
    </w:r>
    <w:r>
      <w:rPr>
        <w:color w:val="6B7280"/>
        <w:sz w:val="16"/>
        <w:szCs w:val="16"/>
      </w:rPr>
      <w:t xml:space="preserve">   |   Valutazione e prescrizione individuale per gli studenti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3112C3"/>
    <w:multiLevelType w:val="multilevel"/>
    <w:tmpl w:val="213112C3"/>
    <w:lvl w:ilvl="0" w:tentative="0">
      <w:start w:val="1"/>
      <w:numFmt w:val="bullet"/>
      <w:lvlText w:val="›"/>
      <w:lvlJc w:val="left"/>
      <w:pPr>
        <w:ind w:left="560" w:hanging="28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D62"/>
    <w:rsid w:val="00317C9F"/>
    <w:rsid w:val="00D63D62"/>
    <w:rsid w:val="00E504D3"/>
    <w:rsid w:val="00EC197A"/>
    <w:rsid w:val="095A4DB7"/>
    <w:rsid w:val="3BAE0FE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color w:val="2C2C2C"/>
      <w:lang w:val="it-IT" w:eastAsia="it-IT" w:bidi="ar-SA"/>
    </w:rPr>
  </w:style>
  <w:style w:type="paragraph" w:styleId="2">
    <w:name w:val="heading 1"/>
    <w:qFormat/>
    <w:uiPriority w:val="9"/>
    <w:pPr>
      <w:outlineLvl w:val="0"/>
    </w:pPr>
    <w:rPr>
      <w:rFonts w:ascii="Arial" w:hAnsi="Arial" w:eastAsia="Arial" w:cs="Arial"/>
      <w:color w:val="2E74B5"/>
      <w:sz w:val="32"/>
      <w:szCs w:val="32"/>
      <w:lang w:val="it-IT" w:eastAsia="it-IT" w:bidi="ar-SA"/>
    </w:rPr>
  </w:style>
  <w:style w:type="paragraph" w:styleId="3">
    <w:name w:val="heading 2"/>
    <w:semiHidden/>
    <w:unhideWhenUsed/>
    <w:qFormat/>
    <w:uiPriority w:val="9"/>
    <w:pPr>
      <w:outlineLvl w:val="1"/>
    </w:pPr>
    <w:rPr>
      <w:rFonts w:ascii="Arial" w:hAnsi="Arial" w:eastAsia="Arial" w:cs="Arial"/>
      <w:color w:val="2E74B5"/>
      <w:sz w:val="26"/>
      <w:szCs w:val="26"/>
      <w:lang w:val="it-IT" w:eastAsia="it-IT" w:bidi="ar-SA"/>
    </w:rPr>
  </w:style>
  <w:style w:type="paragraph" w:styleId="4">
    <w:name w:val="heading 3"/>
    <w:semiHidden/>
    <w:unhideWhenUsed/>
    <w:qFormat/>
    <w:uiPriority w:val="9"/>
    <w:pPr>
      <w:outlineLvl w:val="2"/>
    </w:pPr>
    <w:rPr>
      <w:rFonts w:ascii="Arial" w:hAnsi="Arial" w:eastAsia="Arial" w:cs="Arial"/>
      <w:color w:val="1F4D78"/>
      <w:sz w:val="24"/>
      <w:szCs w:val="24"/>
      <w:lang w:val="it-IT" w:eastAsia="it-IT" w:bidi="ar-SA"/>
    </w:rPr>
  </w:style>
  <w:style w:type="paragraph" w:styleId="5">
    <w:name w:val="heading 4"/>
    <w:semiHidden/>
    <w:unhideWhenUsed/>
    <w:qFormat/>
    <w:uiPriority w:val="9"/>
    <w:pPr>
      <w:outlineLvl w:val="3"/>
    </w:pPr>
    <w:rPr>
      <w:rFonts w:ascii="Arial" w:hAnsi="Arial" w:eastAsia="Arial" w:cs="Arial"/>
      <w:i/>
      <w:iCs/>
      <w:color w:val="2E74B5"/>
      <w:lang w:val="it-IT" w:eastAsia="it-IT" w:bidi="ar-SA"/>
    </w:rPr>
  </w:style>
  <w:style w:type="paragraph" w:styleId="6">
    <w:name w:val="heading 5"/>
    <w:semiHidden/>
    <w:unhideWhenUsed/>
    <w:qFormat/>
    <w:uiPriority w:val="9"/>
    <w:pPr>
      <w:outlineLvl w:val="4"/>
    </w:pPr>
    <w:rPr>
      <w:rFonts w:ascii="Arial" w:hAnsi="Arial" w:eastAsia="Arial" w:cs="Arial"/>
      <w:color w:val="2E74B5"/>
      <w:lang w:val="it-IT" w:eastAsia="it-IT" w:bidi="ar-SA"/>
    </w:rPr>
  </w:style>
  <w:style w:type="paragraph" w:styleId="7">
    <w:name w:val="heading 6"/>
    <w:semiHidden/>
    <w:unhideWhenUsed/>
    <w:qFormat/>
    <w:uiPriority w:val="9"/>
    <w:pPr>
      <w:outlineLvl w:val="5"/>
    </w:pPr>
    <w:rPr>
      <w:rFonts w:ascii="Arial" w:hAnsi="Arial" w:eastAsia="Arial" w:cs="Arial"/>
      <w:color w:val="1F4D78"/>
      <w:lang w:val="it-IT" w:eastAsia="it-IT"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9"/>
    <w:semiHidden/>
    <w:unhideWhenUsed/>
    <w:qFormat/>
    <w:uiPriority w:val="99"/>
    <w:rPr>
      <w:rFonts w:ascii="Arial" w:hAnsi="Arial" w:eastAsia="Arial" w:cs="Arial"/>
      <w:color w:val="2C2C2C"/>
      <w:lang w:val="it-IT" w:eastAsia="it-IT" w:bidi="ar-SA"/>
    </w:rPr>
  </w:style>
  <w:style w:type="character" w:styleId="12">
    <w:name w:val="footnote reference"/>
    <w:semiHidden/>
    <w:unhideWhenUsed/>
    <w:qFormat/>
    <w:uiPriority w:val="99"/>
    <w:rPr>
      <w:vertAlign w:val="superscript"/>
    </w:rPr>
  </w:style>
  <w:style w:type="paragraph" w:styleId="13">
    <w:name w:val="footnote text"/>
    <w:link w:val="18"/>
    <w:semiHidden/>
    <w:unhideWhenUsed/>
    <w:qFormat/>
    <w:uiPriority w:val="99"/>
    <w:rPr>
      <w:rFonts w:ascii="Arial" w:hAnsi="Arial" w:eastAsia="Arial" w:cs="Arial"/>
      <w:color w:val="2C2C2C"/>
      <w:lang w:val="it-IT" w:eastAsia="it-IT" w:bidi="ar-SA"/>
    </w:rPr>
  </w:style>
  <w:style w:type="character" w:styleId="14">
    <w:name w:val="Hyperlink"/>
    <w:unhideWhenUsed/>
    <w:qFormat/>
    <w:uiPriority w:val="99"/>
    <w:rPr>
      <w:color w:val="0563C1"/>
      <w:u w:val="single"/>
    </w:rPr>
  </w:style>
  <w:style w:type="paragraph" w:styleId="15">
    <w:name w:val="Title"/>
    <w:qFormat/>
    <w:uiPriority w:val="10"/>
    <w:rPr>
      <w:rFonts w:ascii="Arial" w:hAnsi="Arial" w:eastAsia="Arial" w:cs="Arial"/>
      <w:color w:val="2C2C2C"/>
      <w:sz w:val="56"/>
      <w:szCs w:val="56"/>
      <w:lang w:val="it-IT" w:eastAsia="it-IT" w:bidi="ar-SA"/>
    </w:rPr>
  </w:style>
  <w:style w:type="paragraph" w:customStyle="1" w:styleId="16">
    <w:name w:val="Enfasi (grassetto)1"/>
    <w:qFormat/>
    <w:uiPriority w:val="0"/>
    <w:rPr>
      <w:rFonts w:ascii="Arial" w:hAnsi="Arial" w:eastAsia="Arial" w:cs="Arial"/>
      <w:b/>
      <w:bCs/>
      <w:color w:val="2C2C2C"/>
      <w:lang w:val="it-IT" w:eastAsia="it-IT" w:bidi="ar-SA"/>
    </w:rPr>
  </w:style>
  <w:style w:type="paragraph" w:styleId="17">
    <w:name w:val="List Paragraph"/>
    <w:qFormat/>
    <w:uiPriority w:val="0"/>
    <w:rPr>
      <w:rFonts w:ascii="Arial" w:hAnsi="Arial" w:eastAsia="Arial" w:cs="Arial"/>
      <w:color w:val="2C2C2C"/>
      <w:lang w:val="it-IT" w:eastAsia="it-IT" w:bidi="ar-SA"/>
    </w:rPr>
  </w:style>
  <w:style w:type="character" w:customStyle="1" w:styleId="18">
    <w:name w:val="Testo nota a piè di pagina Carattere"/>
    <w:link w:val="13"/>
    <w:semiHidden/>
    <w:unhideWhenUsed/>
    <w:uiPriority w:val="99"/>
    <w:rPr>
      <w:sz w:val="20"/>
      <w:szCs w:val="20"/>
    </w:rPr>
  </w:style>
  <w:style w:type="character" w:customStyle="1" w:styleId="19">
    <w:name w:val="Testo nota di chiusura Carattere"/>
    <w:link w:val="11"/>
    <w:semiHidden/>
    <w:unhideWhenUsed/>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2205</Words>
  <Characters>12572</Characters>
  <Lines>104</Lines>
  <Paragraphs>29</Paragraphs>
  <TotalTime>2</TotalTime>
  <ScaleCrop>false</ScaleCrop>
  <LinksUpToDate>false</LinksUpToDate>
  <CharactersWithSpaces>14748</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2026-03-30T09:29:00Z</dcterms:created>
  <dc:creator>Un-named</dc:creator>
  <cp:lastModifiedBy>pino1</cp:lastModifiedBy>
  <dcterms:modified xsi:type="dcterms:W3CDTF">2026-07-24T07:23:16Z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EC387D13256D465FBAE5A5C3A123EC1D_13</vt:lpwstr>
  </property>
</Properties>
</file>