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D2470">
      <w:pPr>
        <w:rPr>
          <w:rFonts w:ascii="Impact" w:hAnsi="Impact"/>
          <w:color w:val="DA001B"/>
          <w:sz w:val="36"/>
          <w:szCs w:val="36"/>
          <w:shd w:val="clear" w:color="auto" w:fill="FFFFFF"/>
        </w:rPr>
      </w:pPr>
      <w:bookmarkStart w:id="0" w:name="_GoBack"/>
      <w:bookmarkEnd w:id="0"/>
      <w:r>
        <w:rPr>
          <w:rFonts w:ascii="Impact" w:hAnsi="Impact"/>
          <w:color w:val="DA001B"/>
          <w:sz w:val="36"/>
          <w:szCs w:val="36"/>
          <w:shd w:val="clear" w:color="auto" w:fill="FFFFFF"/>
        </w:rPr>
        <w:t>SECONDA PARTE: E dopo il giocosport, la terra di mezzo?</w:t>
      </w:r>
    </w:p>
    <w:p w14:paraId="71D030E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Vediamo cosa è successo per via di “</w:t>
      </w:r>
      <w:r>
        <w:rPr>
          <w:rFonts w:ascii="Arial" w:hAnsi="Arial" w:eastAsia="Times New Roman" w:cs="Arial"/>
          <w:b/>
          <w:bCs/>
          <w:color w:val="000000"/>
          <w:sz w:val="21"/>
          <w:lang w:eastAsia="it-IT" w:bidi="ar-SA"/>
        </w:rPr>
        <w:t>madre natura</w:t>
      </w:r>
      <w:r>
        <w:rPr>
          <w:rFonts w:ascii="Arial" w:hAnsi="Arial" w:eastAsia="Times New Roman" w:cs="Arial"/>
          <w:color w:val="000000"/>
          <w:sz w:val="21"/>
          <w:szCs w:val="21"/>
          <w:lang w:eastAsia="it-IT" w:bidi="ar-SA"/>
        </w:rPr>
        <w:t>” e della sua interazione con l’ambiente, cioè cosa accade nel “</w:t>
      </w:r>
      <w:r>
        <w:rPr>
          <w:rFonts w:ascii="Arial" w:hAnsi="Arial" w:eastAsia="Times New Roman" w:cs="Arial"/>
          <w:b/>
          <w:bCs/>
          <w:color w:val="000000"/>
          <w:sz w:val="21"/>
          <w:lang w:eastAsia="it-IT" w:bidi="ar-SA"/>
        </w:rPr>
        <w:t>fenotipo</w:t>
      </w:r>
      <w:r>
        <w:rPr>
          <w:rFonts w:ascii="Arial" w:hAnsi="Arial" w:eastAsia="Times New Roman" w:cs="Arial"/>
          <w:color w:val="000000"/>
          <w:sz w:val="21"/>
          <w:szCs w:val="21"/>
          <w:lang w:eastAsia="it-IT" w:bidi="ar-SA"/>
        </w:rPr>
        <w:t>”.</w:t>
      </w:r>
    </w:p>
    <w:p w14:paraId="3DAB9A1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Riguardo il corpo</w:t>
      </w:r>
    </w:p>
    <w:p w14:paraId="4108B301">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Se dai sei agli undici anni la crescita e l’evoluzione del corpo dei fanciulli e delle fanciulle è simile e ha lo stesso ritmo, tra gli undici e i tredici anni, lo sviluppo delle ragazze è più rapido. Alla fine della pre-adolescenza i due generi sono peraltro completamente differenziati.</w:t>
      </w:r>
    </w:p>
    <w:p w14:paraId="0641ADA1">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 quest'ultimo stadio evolutivo alcuni sistemi e apparati, come quelli locomotorio e respiratorio, presentano una rapida evoluzione; altri presentano uno sviluppo intenso, come ad es. tutti gli organi dell’apparato genitale.</w:t>
      </w:r>
    </w:p>
    <w:p w14:paraId="07702F4E">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quanto riguarda le proporzioni del corpo, all'inizio di questo periodo si ha un aumento della crescita in statura e una più lenta crescita di peso.</w:t>
      </w:r>
    </w:p>
    <w:p w14:paraId="2A13854C">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L'aumento della statura è determinato in modo particolare dall'allungamento degli arti (braccia e gambe), più che del tronco, e quindi delle “leve”; si producono per questo squilibri nelle proporzioni del corpo, tipici dell'adolescenza. La differenziazione tra i sessi riguarda anche le sopraggiunte proporzioni del corpo.</w:t>
      </w:r>
    </w:p>
    <w:p w14:paraId="04034F17">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Nelle ragazze si allarga il bacino, che nei ragazzi rimane snello; il contrario avviene per la larghezza delle spalle: rimangono snelle nelle femmine, si allargano quelle dei maschi.</w:t>
      </w:r>
    </w:p>
    <w:p w14:paraId="4EAF0C03">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mano dei maschi diventa più larga e muscolarmente forte, ma in generale nei due sessi piedi e mani crescono in modo sproporzionato rispetto all'avambraccio e alle gambe.</w:t>
      </w:r>
    </w:p>
    <w:p w14:paraId="596ACC6E">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Il diverso ritmo di sviluppo dei segmenti corporei determina squilibri che possono riguardare anche gli arti omologhi; esso può provocare una inadeguatezza nello schema corporeo e un'insicurezza nell'immagine di sé, anche con evidenti carenze coordinative generali e specifiche.</w:t>
      </w:r>
    </w:p>
    <w:p w14:paraId="450D26F7">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Il corpo del pre-adolescente può presentare malleabilità nello scheletro e transitoria insufficienza muscolare; tutto ciò può favorire l’eventuale insorgere di alterazioni morfologico-funzionali.</w:t>
      </w:r>
    </w:p>
    <w:p w14:paraId="7F2B97AC">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 questo periodo si ha una diminuzione del tessuto adiposo sottocutaneo, specie negli arti, e in forma più evidente nei maschi. I muscoli scheletrici si sviluppano, in particolare, per l'allungamento delle fibre muscolari.</w:t>
      </w:r>
    </w:p>
    <w:p w14:paraId="14251BC4">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Fino a 13 anni circa lo sviluppo muscolare ha un andamento parallelo nei due sessi, poi rallenta nelle ragazze. Forte è la crescita della muscolatura degli arti inferiori che arriva fino oltre il 50% dell'intera massa muscolare.</w:t>
      </w:r>
    </w:p>
    <w:p w14:paraId="79E80ED8">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 l'aumento della massa muscolare cresce anche la forza muscolare. Le ragazze raggiungono prima dei maschi il momento in cui sviluppano la massima forza muscolare, a causa della loro precoce maturazione sessuale.</w:t>
      </w:r>
    </w:p>
    <w:p w14:paraId="219AAC4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Riguardo il sistema cardio-respiratorio</w:t>
      </w:r>
    </w:p>
    <w:p w14:paraId="63A6162C">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Il volume assoluto del cuore aumenta, soprattutto tra i 12 e i 15 anni. La frequenza cardiaca si stabilizza, sebbene l'intero apparato cardio-circolatorio mostri una certa labilità e una non ancora precisa capacità di regolazione ai vari gradi di sforzo. Con il progredire della maturazione si ha una diminuzione della frequenza cardiaca a riposo e sotto sforzo, nonché dei tempi di recupero per via di una migliore ventilazione polmonare (vedi).</w:t>
      </w:r>
    </w:p>
    <w:p w14:paraId="1F23379C">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Forti reazioni di adattamento si hanno anche nell'apparato respiratorio. La meccanica respiratoria appare più economica: diminuisce, infatti, la frequenza respiratoria sotto sforzo mentre la respirazione è più profonda.</w:t>
      </w:r>
    </w:p>
    <w:p w14:paraId="73E981B2">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ventilazione polmonare è strettamente connessa con il livello di sviluppo anatomico dell'apparato respiratorio. L'accelerato ritmo di crescita delle vie aeree, degli alveoli e del tessuto polmonare rappresenta la base organica sulla quale si fonda l'aumento della capacità funzionale dell'apparato respiratorio, cioè della ventilazione polmonare.</w:t>
      </w:r>
    </w:p>
    <w:p w14:paraId="43258984">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Anche la respirazione nei tessuti, valutata secondo il criterio più significativo che è il consumo di ossigeno al minuto, mostra un aumento costante. Vi sono notevoli differenze tra i due sessi. La crescita del massimo consumo d'ossigeno è simile fino ai 13-14 anni. Anche i processi metabolici cambiano con i processi generali di crescita.</w:t>
      </w:r>
    </w:p>
    <w:p w14:paraId="1AA32767">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All'inizio della pubertà la capacità aerobica non è ancora abbastanza sviluppata; essa si rafforza grazie alla maggiore funzionalità dell'apparato cardiocircolatorio e di quello respiratorio.</w:t>
      </w:r>
    </w:p>
    <w:p w14:paraId="7FA19029">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capacità anaerobica si forma invece più tardi, e in questa fase è ancora insufficiente in ambo i generi. È opportuno, quindi, limitare l'uso dei carichi di tipo anaerobico-lattacido.</w:t>
      </w:r>
    </w:p>
    <w:p w14:paraId="770697A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D820FD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Riguardo alla dimensione psicomotoria</w:t>
      </w:r>
    </w:p>
    <w:p w14:paraId="227F9355">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II sistema nervoso centrale, che ha già raggiunto un elevato sviluppo, completa la sua maturazione proprio in periodo puberale.</w:t>
      </w:r>
    </w:p>
    <w:p w14:paraId="685ABAED">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 questo periodo, dagli 11 ai 13 anni, viene messa in crisi soprattutto la coordinazione dell'attività muscolare, anche a causa dei problemi che possono sorgere a causa dei cambiamenti delle proporzioni del corpo e del¬l'aumento di alcuni presupposti condizionali, come la forza.</w:t>
      </w:r>
    </w:p>
    <w:p w14:paraId="0D38E45E">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Le coordinazioni apprese e automatizzate nella fascia precedente del minibasket vengono messe in crisi, ad esempio, dai sistemi senso percettivi statici e  statico-dinamici (propiocezioni cinestesiche e vestibolari) connesse alle nuove dimensioni delle leve degli arti inferiori e superiori, nonché dall’aumento della massa corporea.</w:t>
      </w:r>
    </w:p>
    <w:p w14:paraId="59AECB7B">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 questo senso è possibile osservare una evidente “destabilizzazione” più o meno marcata delle coordinazioni connesse agli schemi motori soprattutto del correre, saltare, lanciare e afferrare anche per via della modificazione del baricentro.</w:t>
      </w:r>
    </w:p>
    <w:p w14:paraId="25016F5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D9EE63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 quanto sopra vale la pena di aggiungere ciò che in merito scrive J.Weineck (in “L’allenamento ottimale” – pag.96/97 – Calzetti &amp; Mariucci – 2001) quando afferma che in questa fascia d’età “</w:t>
      </w:r>
      <w:r>
        <w:rPr>
          <w:rFonts w:ascii="Arial" w:hAnsi="Arial" w:eastAsia="Times New Roman" w:cs="Arial"/>
          <w:b/>
          <w:bCs/>
          <w:i/>
          <w:iCs/>
          <w:color w:val="000000"/>
          <w:sz w:val="21"/>
          <w:lang w:eastAsia="it-IT" w:bidi="ar-SA"/>
        </w:rPr>
        <w:t>La forte crescita della statura e del peso, che temporaneamente portano ad un peggioramento del rapporto peso-forza, generalmente determinano una riduzione della capacità di prestazione coordinativa. La precisione del controllo del movimento lascia molto a desiderare: una delle caratteristiche di questa età sono i movimenti fuori misura sul piano coordinativo</w:t>
      </w:r>
      <w:r>
        <w:rPr>
          <w:rFonts w:ascii="Arial" w:hAnsi="Arial" w:eastAsia="Times New Roman" w:cs="Arial"/>
          <w:color w:val="000000"/>
          <w:sz w:val="21"/>
          <w:szCs w:val="21"/>
          <w:lang w:eastAsia="it-IT" w:bidi="ar-SA"/>
        </w:rPr>
        <w:t>”.</w:t>
      </w:r>
    </w:p>
    <w:p w14:paraId="28CABDB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88E41C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Se quanto sopra costituisce di fatto la “condizione” in cui si vengono a trovare i nostri allievi, abbiamo davanti tre alternative.</w:t>
      </w:r>
    </w:p>
    <w:p w14:paraId="60A4AC8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A37F394">
      <w:pPr>
        <w:numPr>
          <w:ilvl w:val="0"/>
          <w:numId w:val="4"/>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La prima</w:t>
      </w:r>
      <w:r>
        <w:rPr>
          <w:rFonts w:ascii="Arial" w:hAnsi="Arial" w:eastAsia="Times New Roman" w:cs="Arial"/>
          <w:color w:val="000000"/>
          <w:sz w:val="21"/>
          <w:szCs w:val="21"/>
          <w:lang w:eastAsia="it-IT" w:bidi="ar-SA"/>
        </w:rPr>
        <w:t> ci dice che siccome abbiamo poche idee e confuse, lasciamo perdere (tanto chi vuole imparare, impara) e continuiamo tranquillamente a seguire le “auree indicazioni” ricevute dai nostri “maggiorenti” in materia di tecnica.</w:t>
      </w:r>
    </w:p>
    <w:p w14:paraId="4FC8B4F2">
      <w:pPr>
        <w:numPr>
          <w:ilvl w:val="0"/>
          <w:numId w:val="4"/>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La seconda</w:t>
      </w:r>
      <w:r>
        <w:rPr>
          <w:rFonts w:ascii="Arial" w:hAnsi="Arial" w:eastAsia="Times New Roman" w:cs="Arial"/>
          <w:color w:val="000000"/>
          <w:sz w:val="21"/>
          <w:szCs w:val="21"/>
          <w:lang w:eastAsia="it-IT" w:bidi="ar-SA"/>
        </w:rPr>
        <w:t> parte dalle certezze chiuse, tramandate tra generazioni di allenatori, mai sottoposte ad un minimo di verifica o revisione, per cui “ a me, coach Pinco, me faceva fa così e siccome nun sò morto, vordì che va bene”.</w:t>
      </w:r>
    </w:p>
    <w:p w14:paraId="01180887">
      <w:pPr>
        <w:numPr>
          <w:ilvl w:val="0"/>
          <w:numId w:val="4"/>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La terza</w:t>
      </w:r>
      <w:r>
        <w:rPr>
          <w:rFonts w:ascii="Arial" w:hAnsi="Arial" w:eastAsia="Times New Roman" w:cs="Arial"/>
          <w:color w:val="000000"/>
          <w:sz w:val="21"/>
          <w:szCs w:val="21"/>
          <w:lang w:eastAsia="it-IT" w:bidi="ar-SA"/>
        </w:rPr>
        <w:t>, infine molto più faticosa ed irta di difficoltà ci invita a cercare di “capire” prima e di “considerare” poi, per poter infine “scegliere” con consapevolezza sapendo cosa, come e perché quella esercitazione piuttosto che “la solita”. Anche se abbiamo l’impressione di “tornare indietro”.</w:t>
      </w:r>
    </w:p>
    <w:p w14:paraId="1C2CD90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sostenere la realizzazione di questa terza importante alternativa il nostro E.Hahn (op.cit.) ci dice che dalla </w:t>
      </w:r>
      <w:r>
        <w:rPr>
          <w:rFonts w:ascii="Arial" w:hAnsi="Arial" w:eastAsia="Times New Roman" w:cs="Arial"/>
          <w:b/>
          <w:bCs/>
          <w:color w:val="000000"/>
          <w:sz w:val="21"/>
          <w:lang w:eastAsia="it-IT" w:bidi="ar-SA"/>
        </w:rPr>
        <w:t>dimensione verticale (dello sviluppo orientato degli schemi)</w:t>
      </w:r>
      <w:r>
        <w:rPr>
          <w:rFonts w:ascii="Arial" w:hAnsi="Arial" w:eastAsia="Times New Roman" w:cs="Arial"/>
          <w:color w:val="000000"/>
          <w:sz w:val="21"/>
          <w:szCs w:val="21"/>
          <w:lang w:eastAsia="it-IT" w:bidi="ar-SA"/>
        </w:rPr>
        <w:t>, che per noi conclude il minibasket, deriva un’ulteriore forma di sviluppo fortemente finalizzato degli schemi motori che definisce come “Dimensione finalizzata dello </w:t>
      </w:r>
      <w:r>
        <w:rPr>
          <w:rFonts w:ascii="Arial" w:hAnsi="Arial" w:eastAsia="Times New Roman" w:cs="Arial"/>
          <w:b/>
          <w:bCs/>
          <w:color w:val="000000"/>
          <w:sz w:val="21"/>
          <w:lang w:eastAsia="it-IT" w:bidi="ar-SA"/>
        </w:rPr>
        <w:t>sviluppo intensivo degli schemi motori</w:t>
      </w:r>
      <w:r>
        <w:rPr>
          <w:rFonts w:ascii="Arial" w:hAnsi="Arial" w:eastAsia="Times New Roman" w:cs="Arial"/>
          <w:color w:val="000000"/>
          <w:sz w:val="21"/>
          <w:szCs w:val="21"/>
          <w:lang w:eastAsia="it-IT" w:bidi="ar-SA"/>
        </w:rPr>
        <w:t> connessi alle abilità proprie della disciplina sportiva praticata”.</w:t>
      </w:r>
    </w:p>
    <w:p w14:paraId="1DCE54E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F62FC6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Anche in questo caso E. Hahn ricorda che “</w:t>
      </w:r>
      <w:r>
        <w:rPr>
          <w:rFonts w:ascii="Arial" w:hAnsi="Arial" w:eastAsia="Times New Roman" w:cs="Arial"/>
          <w:i/>
          <w:iCs/>
          <w:color w:val="000000"/>
          <w:sz w:val="21"/>
          <w:lang w:eastAsia="it-IT" w:bidi="ar-SA"/>
        </w:rPr>
        <w:t>vale un rigoroso  </w:t>
      </w:r>
      <w:r>
        <w:rPr>
          <w:rFonts w:ascii="Arial" w:hAnsi="Arial" w:eastAsia="Times New Roman" w:cs="Arial"/>
          <w:b/>
          <w:bCs/>
          <w:i/>
          <w:iCs/>
          <w:color w:val="000000"/>
          <w:sz w:val="21"/>
          <w:lang w:eastAsia="it-IT" w:bidi="ar-SA"/>
        </w:rPr>
        <w:t>principio dell’allenamento</w:t>
      </w:r>
      <w:r>
        <w:rPr>
          <w:rFonts w:ascii="Arial" w:hAnsi="Arial" w:eastAsia="Times New Roman" w:cs="Arial"/>
          <w:i/>
          <w:iCs/>
          <w:color w:val="000000"/>
          <w:sz w:val="21"/>
          <w:lang w:eastAsia="it-IT" w:bidi="ar-SA"/>
        </w:rPr>
        <w:t>, questa volta relativo alla prima fascia giovanile, che suggerisce l’adozione di una specifica quantità e qualità di proposte, proponendo e facendo ripetere di continuo </w:t>
      </w:r>
      <w:r>
        <w:rPr>
          <w:rFonts w:ascii="Arial" w:hAnsi="Arial" w:eastAsia="Times New Roman" w:cs="Arial"/>
          <w:b/>
          <w:bCs/>
          <w:i/>
          <w:iCs/>
          <w:color w:val="000000"/>
          <w:sz w:val="21"/>
          <w:lang w:eastAsia="it-IT" w:bidi="ar-SA"/>
        </w:rPr>
        <w:t>esercitazioni secondo varianti esecutive significative ed efficaci</w:t>
      </w:r>
      <w:r>
        <w:rPr>
          <w:rFonts w:ascii="Arial" w:hAnsi="Arial" w:eastAsia="Times New Roman" w:cs="Arial"/>
          <w:color w:val="000000"/>
          <w:sz w:val="21"/>
          <w:szCs w:val="21"/>
          <w:lang w:eastAsia="it-IT" w:bidi="ar-SA"/>
        </w:rPr>
        <w:t>” e connesse, per quanto ci riguarda, direttamente con i fondamentali di gioco della  nostra pallacanestro.</w:t>
      </w:r>
    </w:p>
    <w:p w14:paraId="1BD0C68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78C5EBD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Volendo definire, a questo punto, una sintesi dei tre passaggi da affrontare rispetto l’evoluzione e la specializzazione degli schemi motori, possiamo affermare che:</w:t>
      </w:r>
    </w:p>
    <w:p w14:paraId="7B64E8D4">
      <w:pPr>
        <w:numPr>
          <w:ilvl w:val="0"/>
          <w:numId w:val="5"/>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dimensione dell’esplorazione orizzontale degli schemi ha come effetto diretto il miglioramento della coordinazione generale (grezza, fine e variabile).</w:t>
      </w:r>
    </w:p>
    <w:p w14:paraId="7063E03C">
      <w:pPr>
        <w:numPr>
          <w:ilvl w:val="0"/>
          <w:numId w:val="5"/>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dimensione verticale ha a che fare con lo sviluppo delle capacità coordinative.</w:t>
      </w:r>
    </w:p>
    <w:p w14:paraId="65BDBF03">
      <w:pPr>
        <w:numPr>
          <w:ilvl w:val="0"/>
          <w:numId w:val="5"/>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La dimensione mirata  infine ha come effetto immediato il miglioramento dell’apprendimento della tecnica attraverso l’allenamento.</w:t>
      </w:r>
    </w:p>
    <w:p w14:paraId="18C9A167">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Sul piano operativo occorre partire dall’assunto secondo il quale in questa delicata età della “terra di mezzo” l’obiettivo dell’allenamento non deve essere rivolto in maniera prevalente e preminente  all’esclusivo miglioramento della tecnica, </w:t>
      </w:r>
      <w:r>
        <w:rPr>
          <w:rFonts w:ascii="Arial" w:hAnsi="Arial" w:eastAsia="Times New Roman" w:cs="Arial"/>
          <w:b/>
          <w:bCs/>
          <w:color w:val="000000"/>
          <w:sz w:val="21"/>
          <w:lang w:eastAsia="it-IT" w:bidi="ar-SA"/>
        </w:rPr>
        <w:t>ma deve essere ancora ed in maniera efficace dedicato allo sviluppo dei suoi presupposti</w:t>
      </w:r>
      <w:r>
        <w:rPr>
          <w:rFonts w:ascii="Arial" w:hAnsi="Arial" w:eastAsia="Times New Roman" w:cs="Arial"/>
          <w:color w:val="000000"/>
          <w:sz w:val="21"/>
          <w:szCs w:val="21"/>
          <w:lang w:eastAsia="it-IT" w:bidi="ar-SA"/>
        </w:rPr>
        <w:t>.</w:t>
      </w:r>
    </w:p>
    <w:p w14:paraId="7E3CAA7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DC9161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cui, ad esempio, anche il lavoro sugli schemi motori (andature di passo e di corsa, saltare, lanciare ed afferrare, tirare) e sul recupero della coordinazione generale dei movimenti  (connessi direttamente ai fondamentali di gioco) non può considerarsi concluso con il termine del minibasket ma assume in questa fascia d’età una nuova e diversa importanza per tutti i motivi che in precedenza sono stati ampiamente analizzati ed enunciati.</w:t>
      </w:r>
    </w:p>
    <w:p w14:paraId="7E12A4F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42EA48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 termini molto più banali non è solo che sono cambiate le dimensioni del campo, l’altezza dei canestri e la dimensione ed il peso del pallone: è cambiato l’hardware di ciascun allievo per cui il software non gira più come dovrebbe girare perché il sistema operativo lavora in un ambiente ed in condizioni diverse, modificate, evolute.</w:t>
      </w:r>
    </w:p>
    <w:p w14:paraId="5D4562D7">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389307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Tornando alla dimensione realizzativa, vale la pena di riprendere quanto affermava in precedenza E.Hahn (op.cit.) quando accennava alla “</w:t>
      </w:r>
      <w:r>
        <w:rPr>
          <w:rFonts w:ascii="Arial" w:hAnsi="Arial" w:eastAsia="Times New Roman" w:cs="Arial"/>
          <w:b/>
          <w:bCs/>
          <w:color w:val="000000"/>
          <w:sz w:val="21"/>
          <w:lang w:eastAsia="it-IT" w:bidi="ar-SA"/>
        </w:rPr>
        <w:t>continua proposizione e ripetizione secondo varianti esecutive significative, efficaci e direttamente connesse</w:t>
      </w:r>
      <w:r>
        <w:rPr>
          <w:rFonts w:ascii="Arial" w:hAnsi="Arial" w:eastAsia="Times New Roman" w:cs="Arial"/>
          <w:color w:val="000000"/>
          <w:sz w:val="21"/>
          <w:szCs w:val="21"/>
          <w:lang w:eastAsia="it-IT" w:bidi="ar-SA"/>
        </w:rPr>
        <w:t>” … per noi ai nostri fondamentali di gioco.</w:t>
      </w:r>
    </w:p>
    <w:p w14:paraId="725964D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1E6312E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Rispetto al discorso delle “varianti esecutive” D. Harre ( “Trainingslehre” - Berlin 1979 in J.Weineck – Allenamento ottimale pag. 468 - 2001) ne elenca alcune tra le più significative ed “allenanti”, quali:</w:t>
      </w:r>
    </w:p>
    <w:p w14:paraId="211297C2">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Posizioni iniziali non abituali per la realizzazione dell’esercizio</w:t>
      </w:r>
    </w:p>
    <w:p w14:paraId="01D56498">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Realizzazione a specchio dell’esercizio</w:t>
      </w:r>
    </w:p>
    <w:p w14:paraId="2F3CA1A3">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Modificazione della rapidità di movimento</w:t>
      </w:r>
    </w:p>
    <w:p w14:paraId="19771D6B">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Variazioni nella velocità degli spostamenti</w:t>
      </w:r>
    </w:p>
    <w:p w14:paraId="6FFF90A2">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Modificazioni degli spazi di esecuzione dei movimenti</w:t>
      </w:r>
    </w:p>
    <w:p w14:paraId="2D2DF11F">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Complicazione nell’azione attraverso l’inserimento di movimenti addizionali</w:t>
      </w:r>
    </w:p>
    <w:p w14:paraId="334275DD">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Esecuzioni sotto pressione di tempo, spazio, avversari</w:t>
      </w:r>
    </w:p>
    <w:p w14:paraId="5C91205F">
      <w:pPr>
        <w:numPr>
          <w:ilvl w:val="0"/>
          <w:numId w:val="6"/>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Creazione di condizioni esecutive non abituali e di attrezzature improprie</w:t>
      </w:r>
    </w:p>
    <w:p w14:paraId="6A6D612D">
      <w:pPr>
        <w:shd w:val="clear" w:color="auto" w:fill="FFFFFF"/>
        <w:spacing w:after="0"/>
        <w:jc w:val="both"/>
        <w:rPr>
          <w:rFonts w:ascii="Arial" w:hAnsi="Arial" w:eastAsia="Times New Roman" w:cs="Arial"/>
          <w:color w:val="000000"/>
          <w:sz w:val="21"/>
          <w:szCs w:val="21"/>
          <w:lang w:eastAsia="it-IT" w:bidi="ar-SA"/>
        </w:rPr>
      </w:pPr>
    </w:p>
    <w:p w14:paraId="5C6E68F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 questi suggerimenti pratici, aggiungerei volentieri quanto i nostri F. Merni e I.Nicolini (in “L’allenamento giovanile”  – pag.100/101- Scuola dello Sport – 1999) enunciano i termini di “</w:t>
      </w:r>
      <w:r>
        <w:rPr>
          <w:rFonts w:ascii="Arial" w:hAnsi="Arial" w:eastAsia="Times New Roman" w:cs="Arial"/>
          <w:b/>
          <w:bCs/>
          <w:color w:val="000000"/>
          <w:sz w:val="21"/>
          <w:lang w:eastAsia="it-IT" w:bidi="ar-SA"/>
        </w:rPr>
        <w:t>difficoltà esecutive allenanti</w:t>
      </w:r>
      <w:r>
        <w:rPr>
          <w:rFonts w:ascii="Arial" w:hAnsi="Arial" w:eastAsia="Times New Roman" w:cs="Arial"/>
          <w:color w:val="000000"/>
          <w:sz w:val="21"/>
          <w:szCs w:val="21"/>
          <w:lang w:eastAsia="it-IT" w:bidi="ar-SA"/>
        </w:rPr>
        <w:t>” da applicare ai diversi schemi motori correlati ai gesti tecnici.</w:t>
      </w:r>
    </w:p>
    <w:p w14:paraId="35694653">
      <w:pPr>
        <w:shd w:val="clear" w:color="auto" w:fill="FFFFFF"/>
        <w:spacing w:after="0"/>
        <w:jc w:val="both"/>
        <w:rPr>
          <w:rFonts w:ascii="Arial" w:hAnsi="Arial" w:eastAsia="Times New Roman" w:cs="Arial"/>
          <w:color w:val="000000"/>
          <w:sz w:val="21"/>
          <w:szCs w:val="21"/>
          <w:lang w:eastAsia="it-IT" w:bidi="ar-SA"/>
        </w:rPr>
      </w:pPr>
    </w:p>
    <w:p w14:paraId="57DC3BDC">
      <w:pPr>
        <w:numPr>
          <w:ilvl w:val="0"/>
          <w:numId w:val="7"/>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Difficoltà dipendenti dalla novità del gesto:</w:t>
      </w:r>
      <w:r>
        <w:rPr>
          <w:rFonts w:ascii="Arial" w:hAnsi="Arial" w:eastAsia="Times New Roman" w:cs="Arial"/>
          <w:color w:val="000000"/>
          <w:sz w:val="21"/>
          <w:szCs w:val="21"/>
          <w:lang w:eastAsia="it-IT" w:bidi="ar-SA"/>
        </w:rPr>
        <w:t> un movimento sconosciuto o piccole varianti proposte in un azione già automatizzata, possono creare difficoltà nell’esecuzione motoria.</w:t>
      </w:r>
    </w:p>
    <w:p w14:paraId="472F4B17">
      <w:pPr>
        <w:numPr>
          <w:ilvl w:val="0"/>
          <w:numId w:val="7"/>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Difficoltà relative alla coordinazione segmentaria: </w:t>
      </w:r>
      <w:r>
        <w:rPr>
          <w:rFonts w:ascii="Arial" w:hAnsi="Arial" w:eastAsia="Times New Roman" w:cs="Arial"/>
          <w:color w:val="000000"/>
          <w:sz w:val="21"/>
          <w:szCs w:val="21"/>
          <w:lang w:eastAsia="it-IT" w:bidi="ar-SA"/>
        </w:rPr>
        <w:t>se vengono impegnati più segmenti contemporaneamente o in successione, si accresce la difficoltà esecutiva dell’esercizio.</w:t>
      </w:r>
    </w:p>
    <w:p w14:paraId="2021E081">
      <w:pPr>
        <w:numPr>
          <w:ilvl w:val="0"/>
          <w:numId w:val="7"/>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Difficoltà connesse agli equilibri: </w:t>
      </w:r>
      <w:r>
        <w:rPr>
          <w:rFonts w:ascii="Arial" w:hAnsi="Arial" w:eastAsia="Times New Roman" w:cs="Arial"/>
          <w:color w:val="000000"/>
          <w:sz w:val="21"/>
          <w:szCs w:val="21"/>
          <w:lang w:eastAsia="it-IT" w:bidi="ar-SA"/>
        </w:rPr>
        <w:t>posizioni insolite o con base di appoggio ridotta o attitudini e atteggiamenti complessi nel corso delle varie fasi dell’esecuzione del movimento, possono aumentare le difficoltà e l’impegno muscolare e legamentoso per problemi connessi al mantenimento dell’equilibrio.</w:t>
      </w:r>
    </w:p>
    <w:p w14:paraId="067AF4AA">
      <w:pPr>
        <w:numPr>
          <w:ilvl w:val="0"/>
          <w:numId w:val="7"/>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Difficoltà dipendenti dalle variazioni di velocità, frequenza, ritmo e spostamenti nello spazio:</w:t>
      </w:r>
      <w:r>
        <w:rPr>
          <w:rFonts w:ascii="Arial" w:hAnsi="Arial" w:eastAsia="Times New Roman" w:cs="Arial"/>
          <w:color w:val="000000"/>
          <w:sz w:val="21"/>
          <w:szCs w:val="21"/>
          <w:lang w:eastAsia="it-IT" w:bidi="ar-SA"/>
        </w:rPr>
        <w:t> in presenza di significative variazioni di questi parametri, anche i movimenti già automatizzati possono risultare di più difficile ed impegnativa esecuzione.</w:t>
      </w:r>
    </w:p>
    <w:p w14:paraId="50BCB658">
      <w:pPr>
        <w:numPr>
          <w:ilvl w:val="0"/>
          <w:numId w:val="7"/>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Difficoltà dipendenti dall’intensità del carico e dall’affaticamento:</w:t>
      </w:r>
      <w:r>
        <w:rPr>
          <w:rFonts w:ascii="Arial" w:hAnsi="Arial" w:eastAsia="Times New Roman" w:cs="Arial"/>
          <w:color w:val="000000"/>
          <w:sz w:val="21"/>
          <w:szCs w:val="21"/>
          <w:lang w:eastAsia="it-IT" w:bidi="ar-SA"/>
        </w:rPr>
        <w:t> Carichi elevati e fasi di recupero carenti o incomplete, possono creare problemi dal punto di vista dell’efficace esecuzione dei movimenti.</w:t>
      </w:r>
    </w:p>
    <w:p w14:paraId="1B3AF31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Apprezzo molto il significato “allenante” che i due esperti danno al termine “difficoltà” da intendersi come una sorta di ostacolo, di limitazione, di complicazione, opportunamente somministrata e intenzionalmente predisposta dal tecnico durante l’attività, allo scopo di mettere in crisi i sistemi della motricità generale e di “sollecitare e richiamare” alla reazione prestativa le risorse personali degli allievi.</w:t>
      </w:r>
    </w:p>
    <w:p w14:paraId="6C91196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5DA304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concludere mi piace imbarcarmi in una metafora complessa che propongo allo scopo di chiarire meglio, se possibile, quanto sin qui esposto. </w:t>
      </w:r>
    </w:p>
    <w:p w14:paraId="1289308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Alla domanda se si debba o meno ritenere utile o necessario, dopo la fascia d’età del minibasket, lavorare o meglio “rilavorare” sugli schemi motori in maniera mirata alle loro connessioni con i fondamentali di gioco, </w:t>
      </w:r>
      <w:r>
        <w:rPr>
          <w:rFonts w:ascii="Arial" w:hAnsi="Arial" w:eastAsia="Times New Roman" w:cs="Arial"/>
          <w:b/>
          <w:bCs/>
          <w:color w:val="000000"/>
          <w:sz w:val="21"/>
          <w:lang w:eastAsia="it-IT" w:bidi="ar-SA"/>
        </w:rPr>
        <w:t>la risposta è si</w:t>
      </w:r>
      <w:r>
        <w:rPr>
          <w:rFonts w:ascii="Arial" w:hAnsi="Arial" w:eastAsia="Times New Roman" w:cs="Arial"/>
          <w:color w:val="000000"/>
          <w:sz w:val="21"/>
          <w:szCs w:val="21"/>
          <w:lang w:eastAsia="it-IT" w:bidi="ar-SA"/>
        </w:rPr>
        <w:t>.</w:t>
      </w:r>
    </w:p>
    <w:p w14:paraId="74BE463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3A80F0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 diversi e complessi motivi ho cercato di esporli in maniera ampia ed in forma spero esaustiva e fondata. Da qui la metafora secondo la quale è come se alla fine del minibasket i nostri bambini sapessero fare di tutto con le confezioni dei “Lego ®” numero  1, 2 e 3. </w:t>
      </w:r>
    </w:p>
    <w:p w14:paraId="06ECD9C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 quelle tre scatole ci sono dei pezzi (schemi motori e capacità) o semilavorati o già pronti, adatti proprio alle loro età e utili a costruire i modelli di semplici manufatti (fondamentali del minibasket) contenuti nei tre corrispondenti libretti d’istruzione. </w:t>
      </w:r>
    </w:p>
    <w:p w14:paraId="58667E3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1F1655E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 gli esordienti e con gli U.13 qualcuno ora si presenta con dei libretti d’istruzione nuovi, diversi, che prevedono la costruzione di modelli più complessi, non tenendo conto che senza nuove scatole di pezzi “Lego ®” di per sé più complete e adatte, o non si va da nessuna parte, ovvero si tirano su e si costruiscono “manufatti di niente” che magari poi, col tempo, crollano.</w:t>
      </w:r>
    </w:p>
    <w:p w14:paraId="2F4D183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Inoltre tu hai voglia di pretendere la costruzione di un castello o di un ponte a tre arcate da chi fino a ieri, era capace certamente, ma di fare solo una casetta o al massimo un fortino per giocare a soldatini.</w:t>
      </w:r>
    </w:p>
    <w:p w14:paraId="2855357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11E4DF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 i nuovi modelli da costruire i pezzi delle tre scatole del minibasket non vanno più bene, non bastano, ce ne vogliono altre, magari la 4 e la 5, con pezzi più dettagliati, più particolareggiati; e non basta ancora perché con i pezzi nuovi ci vogliono tecniche diverse di montaggio affinchè il risultato sia dapprima apprezzabile e poi efficace.</w:t>
      </w:r>
    </w:p>
    <w:p w14:paraId="49E137F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1A959F7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Ma le scatole numero 4 e 5  del “Lego®” non s’inventano e non si trovano dappertutto e spesso non ci sono tutti pezzi e allora bisogna costruirseli; inoltre si deve anche insegnare come usarli, come assemblarli, e per farlo occorrono conoscenze e competenze. Capisci a me !</w:t>
      </w:r>
    </w:p>
    <w:p w14:paraId="4A57843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1E46BCE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Alla prossima.                                                                            </w:t>
      </w:r>
    </w:p>
    <w:p w14:paraId="3A74B93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fabrizio.m.pellegrini@gmail.com</w:t>
      </w:r>
    </w:p>
    <w:p w14:paraId="4399F88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31F327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InfoBiblioMinima</w:t>
      </w:r>
    </w:p>
    <w:p w14:paraId="254FAD36">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Arnaud P. Broyer G. – (1989) Corpo e movimento – Ed.Borla – Roma</w:t>
      </w:r>
    </w:p>
    <w:p w14:paraId="7EDDF63D">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AA.VV. – (1985) – Crescita  adolescenza e sport – Ed. C.S.A. – Firenze</w:t>
      </w:r>
    </w:p>
    <w:p w14:paraId="24D7C61D">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Bernstein N.A. – (1990) – Neurofisilogia del movimento- Soc.Stam.Sportiva – Roma</w:t>
      </w:r>
    </w:p>
    <w:p w14:paraId="01A8235D">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Bortolussi L. Cremonini M. Pellegrini F.M. – (2012) – EasyBasket – FIP - Roma</w:t>
      </w:r>
    </w:p>
    <w:p w14:paraId="4EDCBA07">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C.O.N.L, I.E.I. TRECCANI (1984) Corpo movimento prestazione. Volume I. I.E.I. Treccani, Roma</w:t>
      </w:r>
    </w:p>
    <w:p w14:paraId="69C1BE35">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C.O.N.L, I.E.I. TRECCANI (1984) - Corpo movimento prestazione. Volume II , I.E.I. Treccani, Roma</w:t>
      </w:r>
    </w:p>
    <w:p w14:paraId="4DE6612B">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C.O.N.L, I.E.I. TRECCANI (1987) -L'e¬ducazione motoria di base , I.E.I. Treccani, Roma</w:t>
      </w:r>
    </w:p>
    <w:p w14:paraId="1350B0DD">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C.O.N.L, I.E.I. TRECCANI (1993) - Corpo, movimento, salute. La prima infanzia- I.E.I. Treccani, Roma</w:t>
      </w:r>
    </w:p>
    <w:p w14:paraId="6A0BFF25">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Cremonini M., Pellegrini F.M. (2010)- Il Minibasket. L'emozione, la sco¬perta, il gioco. F.I.P. Roma</w:t>
      </w:r>
    </w:p>
    <w:p w14:paraId="45BD9A40">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C.O.N.L, M.P..I. (1996), (a cura di) - Il Giocosport, Atena, Roma</w:t>
      </w:r>
    </w:p>
    <w:p w14:paraId="68C74635">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Gallahue D.L. – (1987) –Developmental phisical education for today – Mcmillan Publishing- N.Y.</w:t>
      </w:r>
    </w:p>
    <w:p w14:paraId="495F81B3">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Hahn E. – (1986)  - L’allenamento infantile – Soc.Stam.Sportiva – Roma</w:t>
      </w:r>
    </w:p>
    <w:p w14:paraId="6C17FCF8">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Nichols B. (1990) – Moving &amp; Learning – Times Mirror Publisching – Boston</w:t>
      </w:r>
    </w:p>
    <w:p w14:paraId="15EA8708">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Nicoletti I. – (1989) – Crescita e scuola – Giuffrè Editore – Milano</w:t>
      </w:r>
    </w:p>
    <w:p w14:paraId="416F8AE7">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Schmidt R.A., Wrisberg C.A. (2000) – Apprendimento motorio e prestazione – Soc.St.Sp. – Roma</w:t>
      </w:r>
    </w:p>
    <w:p w14:paraId="27984F4A">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Sotgiu P., Pellegrini F. (1989) - Attività motorie e processo educativo- So¬c. Stam. Sportiva, Roma</w:t>
      </w:r>
    </w:p>
    <w:p w14:paraId="48D4CEC1">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Simons J., Beunen G., Renson R., Van Gerven D. (1982). Construction of a motor ability test  for boys and girls aged 12 to 19 years, using factor analysis.- Motor Fitness Publ</w:t>
      </w:r>
    </w:p>
    <w:p w14:paraId="2ED2F846">
      <w:pPr>
        <w:numPr>
          <w:ilvl w:val="0"/>
          <w:numId w:val="8"/>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Weineck  J. -(2001) - L’allenamento ottimale – Calzetti &amp; Mariucci - Perugia</w:t>
      </w:r>
    </w:p>
    <w:p w14:paraId="46DD3253">
      <w:pPr>
        <w:shd w:val="clear" w:color="auto" w:fill="FFFFFF"/>
        <w:spacing w:after="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C4032BA"/>
    <w:sectPr>
      <w:pgSz w:w="11906" w:h="16838"/>
      <w:pgMar w:top="1417"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Open Sans">
    <w:altName w:val="Times New Roman"/>
    <w:panose1 w:val="020B0606030504020204"/>
    <w:charset w:val="00"/>
    <w:family w:val="swiss"/>
    <w:pitch w:val="default"/>
    <w:sig w:usb0="00000000" w:usb1="00000000" w:usb2="00000028" w:usb3="00000000" w:csb0="0000019F" w:csb1="00000000"/>
  </w:font>
  <w:font w:name="Impact">
    <w:panose1 w:val="020B0806030902050204"/>
    <w:charset w:val="00"/>
    <w:family w:val="swiss"/>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E67B0"/>
    <w:multiLevelType w:val="multilevel"/>
    <w:tmpl w:val="00DE67B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F502FF0"/>
    <w:multiLevelType w:val="multilevel"/>
    <w:tmpl w:val="0F502FF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EBA07B2"/>
    <w:multiLevelType w:val="multilevel"/>
    <w:tmpl w:val="1EBA07B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1E508C2"/>
    <w:multiLevelType w:val="multilevel"/>
    <w:tmpl w:val="21E508C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A9777A3"/>
    <w:multiLevelType w:val="multilevel"/>
    <w:tmpl w:val="3A9777A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407E5A89"/>
    <w:multiLevelType w:val="multilevel"/>
    <w:tmpl w:val="407E5A8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2F1482A"/>
    <w:multiLevelType w:val="multilevel"/>
    <w:tmpl w:val="42F148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4FA361A3"/>
    <w:multiLevelType w:val="multilevel"/>
    <w:tmpl w:val="4FA361A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4"/>
  </w:num>
  <w:num w:numId="2">
    <w:abstractNumId w:val="7"/>
  </w:num>
  <w:num w:numId="3">
    <w:abstractNumId w:val="5"/>
  </w:num>
  <w:num w:numId="4">
    <w:abstractNumId w:val="2"/>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283"/>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D97"/>
    <w:rsid w:val="00082D88"/>
    <w:rsid w:val="000B3E22"/>
    <w:rsid w:val="002929DC"/>
    <w:rsid w:val="002A3028"/>
    <w:rsid w:val="00310D97"/>
    <w:rsid w:val="003C1862"/>
    <w:rsid w:val="003F173D"/>
    <w:rsid w:val="00505F02"/>
    <w:rsid w:val="00615F91"/>
    <w:rsid w:val="006731FB"/>
    <w:rsid w:val="00923C16"/>
    <w:rsid w:val="00A50AEF"/>
    <w:rsid w:val="00B45678"/>
    <w:rsid w:val="00B57CED"/>
    <w:rsid w:val="00BE45D9"/>
    <w:rsid w:val="00C61531"/>
    <w:rsid w:val="00CC435E"/>
    <w:rsid w:val="00D05D67"/>
    <w:rsid w:val="00D75B15"/>
    <w:rsid w:val="00DD734D"/>
    <w:rsid w:val="00E108D8"/>
    <w:rsid w:val="00E50BD2"/>
    <w:rsid w:val="00EA0105"/>
    <w:rsid w:val="00F13263"/>
    <w:rsid w:val="00F907E1"/>
    <w:rsid w:val="405F529A"/>
    <w:rsid w:val="53AF123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Open Sans" w:hAnsi="Open Sans"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Open Sans" w:hAnsi="Open Sans" w:eastAsiaTheme="minorHAnsi" w:cstheme="minorBidi"/>
      <w:color w:val="222222"/>
      <w:sz w:val="24"/>
      <w:szCs w:val="24"/>
      <w:lang w:val="it-IT" w:eastAsia="en-US" w:bidi="en-US"/>
    </w:rPr>
  </w:style>
  <w:style w:type="paragraph" w:styleId="2">
    <w:name w:val="heading 1"/>
    <w:basedOn w:val="1"/>
    <w:next w:val="1"/>
    <w:link w:val="18"/>
    <w:qFormat/>
    <w:uiPriority w:val="9"/>
    <w:pPr>
      <w:spacing w:before="480" w:after="0"/>
      <w:contextualSpacing/>
      <w:outlineLvl w:val="0"/>
    </w:pPr>
    <w:rPr>
      <w:rFonts w:asciiTheme="majorHAnsi" w:hAnsiTheme="majorHAnsi" w:eastAsiaTheme="majorEastAsia" w:cstheme="majorBidi"/>
      <w:b/>
      <w:bCs/>
      <w:sz w:val="28"/>
      <w:szCs w:val="28"/>
    </w:rPr>
  </w:style>
  <w:style w:type="paragraph" w:styleId="3">
    <w:name w:val="heading 2"/>
    <w:basedOn w:val="1"/>
    <w:next w:val="1"/>
    <w:link w:val="19"/>
    <w:unhideWhenUsed/>
    <w:qFormat/>
    <w:uiPriority w:val="9"/>
    <w:pPr>
      <w:spacing w:before="200" w:after="0"/>
      <w:outlineLvl w:val="1"/>
    </w:pPr>
    <w:rPr>
      <w:rFonts w:asciiTheme="majorHAnsi" w:hAnsiTheme="majorHAnsi" w:eastAsiaTheme="majorEastAsia" w:cstheme="majorBidi"/>
      <w:b/>
      <w:bCs/>
      <w:sz w:val="26"/>
      <w:szCs w:val="26"/>
    </w:rPr>
  </w:style>
  <w:style w:type="paragraph" w:styleId="4">
    <w:name w:val="heading 3"/>
    <w:basedOn w:val="1"/>
    <w:next w:val="1"/>
    <w:link w:val="20"/>
    <w:semiHidden/>
    <w:unhideWhenUsed/>
    <w:qFormat/>
    <w:uiPriority w:val="9"/>
    <w:pPr>
      <w:spacing w:before="200" w:after="0" w:line="271" w:lineRule="auto"/>
      <w:outlineLvl w:val="2"/>
    </w:pPr>
    <w:rPr>
      <w:rFonts w:asciiTheme="majorHAnsi" w:hAnsiTheme="majorHAnsi" w:eastAsiaTheme="majorEastAsia" w:cstheme="majorBidi"/>
      <w:b/>
      <w:bCs/>
    </w:rPr>
  </w:style>
  <w:style w:type="paragraph" w:styleId="5">
    <w:name w:val="heading 4"/>
    <w:basedOn w:val="1"/>
    <w:next w:val="1"/>
    <w:link w:val="21"/>
    <w:semiHidden/>
    <w:unhideWhenUsed/>
    <w:qFormat/>
    <w:uiPriority w:val="9"/>
    <w:pPr>
      <w:spacing w:before="200" w:after="0"/>
      <w:outlineLvl w:val="3"/>
    </w:pPr>
    <w:rPr>
      <w:rFonts w:asciiTheme="majorHAnsi" w:hAnsiTheme="majorHAnsi" w:eastAsiaTheme="majorEastAsia" w:cstheme="majorBidi"/>
      <w:b/>
      <w:bCs/>
      <w:i/>
      <w:iCs/>
    </w:rPr>
  </w:style>
  <w:style w:type="paragraph" w:styleId="6">
    <w:name w:val="heading 5"/>
    <w:basedOn w:val="1"/>
    <w:next w:val="1"/>
    <w:link w:val="22"/>
    <w:semiHidden/>
    <w:unhideWhenUsed/>
    <w:qFormat/>
    <w:uiPriority w:val="9"/>
    <w:pPr>
      <w:spacing w:before="200" w:after="0"/>
      <w:outlineLvl w:val="4"/>
    </w:pPr>
    <w:rPr>
      <w:rFonts w:asciiTheme="majorHAnsi" w:hAnsiTheme="majorHAnsi" w:eastAsiaTheme="majorEastAsia" w:cstheme="majorBidi"/>
      <w:b/>
      <w:bCs/>
      <w:color w:val="808080" w:themeColor="text1" w:themeTint="80"/>
      <w14:textFill>
        <w14:solidFill>
          <w14:schemeClr w14:val="tx1">
            <w14:lumMod w14:val="50000"/>
            <w14:lumOff w14:val="50000"/>
          </w14:schemeClr>
        </w14:solidFill>
      </w14:textFill>
    </w:rPr>
  </w:style>
  <w:style w:type="paragraph" w:styleId="7">
    <w:name w:val="heading 6"/>
    <w:basedOn w:val="1"/>
    <w:next w:val="1"/>
    <w:link w:val="23"/>
    <w:semiHidden/>
    <w:unhideWhenUsed/>
    <w:qFormat/>
    <w:uiPriority w:val="9"/>
    <w:pPr>
      <w:spacing w:after="0" w:line="271" w:lineRule="auto"/>
      <w:outlineLvl w:val="5"/>
    </w:pPr>
    <w:rPr>
      <w:rFonts w:asciiTheme="majorHAnsi" w:hAnsiTheme="majorHAnsi" w:eastAsiaTheme="majorEastAsia" w:cstheme="majorBidi"/>
      <w:b/>
      <w:bCs/>
      <w:i/>
      <w:iCs/>
      <w:color w:val="808080" w:themeColor="text1" w:themeTint="80"/>
      <w14:textFill>
        <w14:solidFill>
          <w14:schemeClr w14:val="tx1">
            <w14:lumMod w14:val="50000"/>
            <w14:lumOff w14:val="50000"/>
          </w14:schemeClr>
        </w14:solidFill>
      </w14:textFill>
    </w:rPr>
  </w:style>
  <w:style w:type="paragraph" w:styleId="8">
    <w:name w:val="heading 7"/>
    <w:basedOn w:val="1"/>
    <w:next w:val="1"/>
    <w:link w:val="24"/>
    <w:semiHidden/>
    <w:unhideWhenUsed/>
    <w:qFormat/>
    <w:uiPriority w:val="9"/>
    <w:pPr>
      <w:spacing w:after="0"/>
      <w:outlineLvl w:val="6"/>
    </w:pPr>
    <w:rPr>
      <w:rFonts w:asciiTheme="majorHAnsi" w:hAnsiTheme="majorHAnsi" w:eastAsiaTheme="majorEastAsia" w:cstheme="majorBidi"/>
      <w:i/>
      <w:iCs/>
    </w:rPr>
  </w:style>
  <w:style w:type="paragraph" w:styleId="9">
    <w:name w:val="heading 8"/>
    <w:basedOn w:val="1"/>
    <w:next w:val="1"/>
    <w:link w:val="25"/>
    <w:semiHidden/>
    <w:unhideWhenUsed/>
    <w:qFormat/>
    <w:uiPriority w:val="9"/>
    <w:pPr>
      <w:spacing w:after="0"/>
      <w:outlineLvl w:val="7"/>
    </w:pPr>
    <w:rPr>
      <w:rFonts w:asciiTheme="majorHAnsi" w:hAnsiTheme="majorHAnsi" w:eastAsiaTheme="majorEastAsia" w:cstheme="majorBidi"/>
      <w:sz w:val="20"/>
      <w:szCs w:val="20"/>
    </w:rPr>
  </w:style>
  <w:style w:type="paragraph" w:styleId="10">
    <w:name w:val="heading 9"/>
    <w:basedOn w:val="1"/>
    <w:next w:val="1"/>
    <w:link w:val="26"/>
    <w:semiHidden/>
    <w:unhideWhenUsed/>
    <w:qFormat/>
    <w:uiPriority w:val="9"/>
    <w:pPr>
      <w:spacing w:after="0"/>
      <w:outlineLvl w:val="8"/>
    </w:pPr>
    <w:rPr>
      <w:rFonts w:asciiTheme="majorHAnsi" w:hAnsiTheme="majorHAnsi" w:eastAsiaTheme="majorEastAsia" w:cstheme="majorBidi"/>
      <w:i/>
      <w:iCs/>
      <w:spacing w:val="5"/>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20"/>
    <w:rPr>
      <w:b/>
      <w:bCs/>
      <w:i/>
      <w:iCs/>
      <w:spacing w:val="10"/>
      <w:shd w:val="clear" w:color="auto" w:fill="auto"/>
    </w:rPr>
  </w:style>
  <w:style w:type="paragraph" w:styleId="14">
    <w:name w:val="Normal (Web)"/>
    <w:basedOn w:val="1"/>
    <w:semiHidden/>
    <w:unhideWhenUsed/>
    <w:qFormat/>
    <w:uiPriority w:val="99"/>
    <w:pPr>
      <w:spacing w:before="100" w:beforeAutospacing="1" w:after="100" w:afterAutospacing="1"/>
    </w:pPr>
    <w:rPr>
      <w:rFonts w:ascii="Times New Roman" w:hAnsi="Times New Roman" w:eastAsia="Times New Roman" w:cs="Times New Roman"/>
      <w:color w:val="auto"/>
      <w:lang w:eastAsia="it-IT" w:bidi="ar-SA"/>
    </w:rPr>
  </w:style>
  <w:style w:type="character" w:styleId="15">
    <w:name w:val="Strong"/>
    <w:qFormat/>
    <w:uiPriority w:val="22"/>
    <w:rPr>
      <w:b/>
      <w:bCs/>
    </w:rPr>
  </w:style>
  <w:style w:type="paragraph" w:styleId="16">
    <w:name w:val="Subtitle"/>
    <w:basedOn w:val="1"/>
    <w:next w:val="1"/>
    <w:link w:val="28"/>
    <w:qFormat/>
    <w:uiPriority w:val="11"/>
    <w:pPr>
      <w:spacing w:after="600"/>
    </w:pPr>
    <w:rPr>
      <w:rFonts w:asciiTheme="majorHAnsi" w:hAnsiTheme="majorHAnsi" w:eastAsiaTheme="majorEastAsia" w:cstheme="majorBidi"/>
      <w:i/>
      <w:iCs/>
      <w:spacing w:val="13"/>
    </w:rPr>
  </w:style>
  <w:style w:type="paragraph" w:styleId="17">
    <w:name w:val="Title"/>
    <w:basedOn w:val="1"/>
    <w:next w:val="1"/>
    <w:link w:val="27"/>
    <w:qFormat/>
    <w:uiPriority w:val="10"/>
    <w:pPr>
      <w:pBdr>
        <w:bottom w:val="single" w:color="auto" w:sz="4" w:space="1"/>
      </w:pBdr>
      <w:contextualSpacing/>
    </w:pPr>
    <w:rPr>
      <w:rFonts w:asciiTheme="majorHAnsi" w:hAnsiTheme="majorHAnsi" w:eastAsiaTheme="majorEastAsia" w:cstheme="majorBidi"/>
      <w:spacing w:val="5"/>
      <w:sz w:val="52"/>
      <w:szCs w:val="52"/>
    </w:rPr>
  </w:style>
  <w:style w:type="character" w:customStyle="1" w:styleId="18">
    <w:name w:val="Titolo 1 Carattere"/>
    <w:basedOn w:val="11"/>
    <w:link w:val="2"/>
    <w:qFormat/>
    <w:uiPriority w:val="9"/>
    <w:rPr>
      <w:rFonts w:asciiTheme="majorHAnsi" w:hAnsiTheme="majorHAnsi" w:eastAsiaTheme="majorEastAsia" w:cstheme="majorBidi"/>
      <w:b/>
      <w:bCs/>
      <w:sz w:val="28"/>
      <w:szCs w:val="28"/>
    </w:rPr>
  </w:style>
  <w:style w:type="character" w:customStyle="1" w:styleId="19">
    <w:name w:val="Titolo 2 Carattere"/>
    <w:basedOn w:val="11"/>
    <w:link w:val="3"/>
    <w:qFormat/>
    <w:uiPriority w:val="9"/>
    <w:rPr>
      <w:rFonts w:asciiTheme="majorHAnsi" w:hAnsiTheme="majorHAnsi" w:eastAsiaTheme="majorEastAsia" w:cstheme="majorBidi"/>
      <w:b/>
      <w:bCs/>
      <w:sz w:val="26"/>
      <w:szCs w:val="26"/>
    </w:rPr>
  </w:style>
  <w:style w:type="character" w:customStyle="1" w:styleId="20">
    <w:name w:val="Titolo 3 Carattere"/>
    <w:basedOn w:val="11"/>
    <w:link w:val="4"/>
    <w:qFormat/>
    <w:uiPriority w:val="9"/>
    <w:rPr>
      <w:rFonts w:asciiTheme="majorHAnsi" w:hAnsiTheme="majorHAnsi" w:eastAsiaTheme="majorEastAsia" w:cstheme="majorBidi"/>
      <w:b/>
      <w:bCs/>
    </w:rPr>
  </w:style>
  <w:style w:type="character" w:customStyle="1" w:styleId="21">
    <w:name w:val="Titolo 4 Carattere"/>
    <w:basedOn w:val="11"/>
    <w:link w:val="5"/>
    <w:semiHidden/>
    <w:qFormat/>
    <w:uiPriority w:val="9"/>
    <w:rPr>
      <w:rFonts w:asciiTheme="majorHAnsi" w:hAnsiTheme="majorHAnsi" w:eastAsiaTheme="majorEastAsia" w:cstheme="majorBidi"/>
      <w:b/>
      <w:bCs/>
      <w:i/>
      <w:iCs/>
    </w:rPr>
  </w:style>
  <w:style w:type="character" w:customStyle="1" w:styleId="22">
    <w:name w:val="Titolo 5 Carattere"/>
    <w:basedOn w:val="11"/>
    <w:link w:val="6"/>
    <w:semiHidden/>
    <w:qFormat/>
    <w:uiPriority w:val="9"/>
    <w:rPr>
      <w:rFonts w:asciiTheme="majorHAnsi" w:hAnsiTheme="majorHAnsi" w:eastAsiaTheme="majorEastAsia" w:cstheme="majorBidi"/>
      <w:b/>
      <w:bCs/>
      <w:color w:val="808080" w:themeColor="text1" w:themeTint="80"/>
      <w14:textFill>
        <w14:solidFill>
          <w14:schemeClr w14:val="tx1">
            <w14:lumMod w14:val="50000"/>
            <w14:lumOff w14:val="50000"/>
          </w14:schemeClr>
        </w14:solidFill>
      </w14:textFill>
    </w:rPr>
  </w:style>
  <w:style w:type="character" w:customStyle="1" w:styleId="23">
    <w:name w:val="Titolo 6 Carattere"/>
    <w:basedOn w:val="11"/>
    <w:link w:val="7"/>
    <w:semiHidden/>
    <w:qFormat/>
    <w:uiPriority w:val="9"/>
    <w:rPr>
      <w:rFonts w:asciiTheme="majorHAnsi" w:hAnsiTheme="majorHAnsi" w:eastAsiaTheme="majorEastAsia" w:cstheme="majorBidi"/>
      <w:b/>
      <w:bCs/>
      <w:i/>
      <w:iCs/>
      <w:color w:val="808080" w:themeColor="text1" w:themeTint="80"/>
      <w14:textFill>
        <w14:solidFill>
          <w14:schemeClr w14:val="tx1">
            <w14:lumMod w14:val="50000"/>
            <w14:lumOff w14:val="50000"/>
          </w14:schemeClr>
        </w14:solidFill>
      </w14:textFill>
    </w:rPr>
  </w:style>
  <w:style w:type="character" w:customStyle="1" w:styleId="24">
    <w:name w:val="Titolo 7 Carattere"/>
    <w:basedOn w:val="11"/>
    <w:link w:val="8"/>
    <w:semiHidden/>
    <w:qFormat/>
    <w:uiPriority w:val="9"/>
    <w:rPr>
      <w:rFonts w:asciiTheme="majorHAnsi" w:hAnsiTheme="majorHAnsi" w:eastAsiaTheme="majorEastAsia" w:cstheme="majorBidi"/>
      <w:i/>
      <w:iCs/>
    </w:rPr>
  </w:style>
  <w:style w:type="character" w:customStyle="1" w:styleId="25">
    <w:name w:val="Titolo 8 Carattere"/>
    <w:basedOn w:val="11"/>
    <w:link w:val="9"/>
    <w:semiHidden/>
    <w:qFormat/>
    <w:uiPriority w:val="9"/>
    <w:rPr>
      <w:rFonts w:asciiTheme="majorHAnsi" w:hAnsiTheme="majorHAnsi" w:eastAsiaTheme="majorEastAsia" w:cstheme="majorBidi"/>
      <w:sz w:val="20"/>
      <w:szCs w:val="20"/>
    </w:rPr>
  </w:style>
  <w:style w:type="character" w:customStyle="1" w:styleId="26">
    <w:name w:val="Titolo 9 Carattere"/>
    <w:basedOn w:val="11"/>
    <w:link w:val="10"/>
    <w:semiHidden/>
    <w:qFormat/>
    <w:uiPriority w:val="9"/>
    <w:rPr>
      <w:rFonts w:asciiTheme="majorHAnsi" w:hAnsiTheme="majorHAnsi" w:eastAsiaTheme="majorEastAsia" w:cstheme="majorBidi"/>
      <w:i/>
      <w:iCs/>
      <w:spacing w:val="5"/>
      <w:sz w:val="20"/>
      <w:szCs w:val="20"/>
    </w:rPr>
  </w:style>
  <w:style w:type="character" w:customStyle="1" w:styleId="27">
    <w:name w:val="Titolo Carattere"/>
    <w:basedOn w:val="11"/>
    <w:link w:val="17"/>
    <w:qFormat/>
    <w:uiPriority w:val="10"/>
    <w:rPr>
      <w:rFonts w:asciiTheme="majorHAnsi" w:hAnsiTheme="majorHAnsi" w:eastAsiaTheme="majorEastAsia" w:cstheme="majorBidi"/>
      <w:spacing w:val="5"/>
      <w:sz w:val="52"/>
      <w:szCs w:val="52"/>
    </w:rPr>
  </w:style>
  <w:style w:type="character" w:customStyle="1" w:styleId="28">
    <w:name w:val="Sottotitolo Carattere"/>
    <w:basedOn w:val="11"/>
    <w:link w:val="16"/>
    <w:qFormat/>
    <w:uiPriority w:val="11"/>
    <w:rPr>
      <w:rFonts w:asciiTheme="majorHAnsi" w:hAnsiTheme="majorHAnsi" w:eastAsiaTheme="majorEastAsia" w:cstheme="majorBidi"/>
      <w:i/>
      <w:iCs/>
      <w:spacing w:val="13"/>
      <w:sz w:val="24"/>
      <w:szCs w:val="24"/>
    </w:rPr>
  </w:style>
  <w:style w:type="paragraph" w:styleId="29">
    <w:name w:val="No Spacing"/>
    <w:basedOn w:val="1"/>
    <w:qFormat/>
    <w:uiPriority w:val="1"/>
    <w:pPr>
      <w:spacing w:after="0"/>
    </w:pPr>
  </w:style>
  <w:style w:type="paragraph" w:styleId="30">
    <w:name w:val="List Paragraph"/>
    <w:basedOn w:val="1"/>
    <w:qFormat/>
    <w:uiPriority w:val="34"/>
    <w:pPr>
      <w:ind w:left="720"/>
      <w:contextualSpacing/>
    </w:pPr>
  </w:style>
  <w:style w:type="paragraph" w:styleId="31">
    <w:name w:val="Quote"/>
    <w:basedOn w:val="1"/>
    <w:next w:val="1"/>
    <w:link w:val="32"/>
    <w:qFormat/>
    <w:uiPriority w:val="29"/>
    <w:pPr>
      <w:spacing w:before="200" w:after="0"/>
      <w:ind w:left="360" w:right="360"/>
    </w:pPr>
    <w:rPr>
      <w:i/>
      <w:iCs/>
    </w:rPr>
  </w:style>
  <w:style w:type="character" w:customStyle="1" w:styleId="32">
    <w:name w:val="Citazione Carattere"/>
    <w:basedOn w:val="11"/>
    <w:link w:val="31"/>
    <w:qFormat/>
    <w:uiPriority w:val="29"/>
    <w:rPr>
      <w:i/>
      <w:iCs/>
    </w:rPr>
  </w:style>
  <w:style w:type="paragraph" w:styleId="33">
    <w:name w:val="Intense Quote"/>
    <w:basedOn w:val="1"/>
    <w:next w:val="1"/>
    <w:link w:val="34"/>
    <w:qFormat/>
    <w:uiPriority w:val="30"/>
    <w:pPr>
      <w:pBdr>
        <w:bottom w:val="single" w:color="auto" w:sz="4" w:space="1"/>
      </w:pBdr>
      <w:spacing w:before="200" w:after="280"/>
      <w:ind w:left="1008" w:right="1152"/>
      <w:jc w:val="both"/>
    </w:pPr>
    <w:rPr>
      <w:b/>
      <w:bCs/>
      <w:i/>
      <w:iCs/>
    </w:rPr>
  </w:style>
  <w:style w:type="character" w:customStyle="1" w:styleId="34">
    <w:name w:val="Citazione intensa Carattere"/>
    <w:basedOn w:val="11"/>
    <w:link w:val="33"/>
    <w:uiPriority w:val="30"/>
    <w:rPr>
      <w:b/>
      <w:bCs/>
      <w:i/>
      <w:iCs/>
    </w:rPr>
  </w:style>
  <w:style w:type="character" w:customStyle="1" w:styleId="35">
    <w:name w:val="Subtle Emphasis"/>
    <w:qFormat/>
    <w:uiPriority w:val="19"/>
    <w:rPr>
      <w:i/>
      <w:iCs/>
    </w:rPr>
  </w:style>
  <w:style w:type="character" w:customStyle="1" w:styleId="36">
    <w:name w:val="Intense Emphasis"/>
    <w:qFormat/>
    <w:uiPriority w:val="21"/>
    <w:rPr>
      <w:b/>
      <w:bCs/>
    </w:rPr>
  </w:style>
  <w:style w:type="character" w:customStyle="1" w:styleId="37">
    <w:name w:val="Subtle Reference"/>
    <w:qFormat/>
    <w:uiPriority w:val="31"/>
    <w:rPr>
      <w:smallCaps/>
    </w:rPr>
  </w:style>
  <w:style w:type="character" w:customStyle="1" w:styleId="38">
    <w:name w:val="Intense Reference"/>
    <w:qFormat/>
    <w:uiPriority w:val="32"/>
    <w:rPr>
      <w:smallCaps/>
      <w:spacing w:val="5"/>
      <w:u w:val="single"/>
    </w:rPr>
  </w:style>
  <w:style w:type="character" w:customStyle="1" w:styleId="39">
    <w:name w:val="Book Title"/>
    <w:qFormat/>
    <w:uiPriority w:val="33"/>
    <w:rPr>
      <w:i/>
      <w:iCs/>
      <w:smallCaps/>
      <w:spacing w:val="5"/>
    </w:rPr>
  </w:style>
  <w:style w:type="paragraph" w:customStyle="1" w:styleId="40">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2358</Words>
  <Characters>13659</Characters>
  <Lines>114</Lines>
  <Paragraphs>32</Paragraphs>
  <TotalTime>5</TotalTime>
  <ScaleCrop>false</ScaleCrop>
  <LinksUpToDate>false</LinksUpToDate>
  <CharactersWithSpaces>16041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2021-12-27T13:36:00Z</dcterms:created>
  <dc:creator>fabrizio pellegrini</dc:creator>
  <cp:lastModifiedBy>pino1</cp:lastModifiedBy>
  <dcterms:modified xsi:type="dcterms:W3CDTF">2026-06-30T07:34:45Z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99E76485C7214C12887D29C1E6D550E0_13</vt:lpwstr>
  </property>
</Properties>
</file>